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6244">
      <w:pPr>
        <w:spacing w:line="360" w:lineRule="auto"/>
        <w:jc w:val="center"/>
        <w:rPr>
          <w:rFonts w:hint="default" w:ascii="宋体" w:hAnsi="宋体" w:eastAsia="宋体"/>
          <w:sz w:val="24"/>
          <w:szCs w:val="24"/>
        </w:rPr>
      </w:pPr>
      <w:r>
        <w:rPr>
          <w:rFonts w:ascii="宋体" w:hAnsi="宋体" w:eastAsia="宋体"/>
          <w:b/>
          <w:sz w:val="36"/>
          <w:szCs w:val="36"/>
        </w:rPr>
        <w:t>上海外国语大学消息中心及企业微信管理升级项目</w:t>
      </w:r>
      <w:r>
        <w:rPr>
          <w:rFonts w:hint="default" w:ascii="宋体" w:hAnsi="宋体" w:eastAsia="宋体"/>
          <w:b/>
          <w:sz w:val="36"/>
          <w:szCs w:val="36"/>
        </w:rPr>
        <w:br w:type="textWrapping"/>
      </w:r>
      <w:r>
        <w:rPr>
          <w:rFonts w:ascii="宋体" w:hAnsi="宋体" w:eastAsia="宋体"/>
          <w:b/>
          <w:sz w:val="36"/>
          <w:szCs w:val="36"/>
        </w:rPr>
        <w:t>公开比选需求表</w:t>
      </w:r>
    </w:p>
    <w:p w14:paraId="13238FF1">
      <w:pPr>
        <w:pStyle w:val="2"/>
        <w:numPr>
          <w:ilvl w:val="0"/>
          <w:numId w:val="2"/>
        </w:numPr>
        <w:spacing w:line="360" w:lineRule="auto"/>
        <w:ind w:left="482" w:hanging="482" w:hangingChars="200"/>
        <w:rPr>
          <w:rFonts w:hint="default" w:ascii="宋体" w:hAnsi="宋体" w:eastAsia="宋体"/>
          <w:b/>
          <w:sz w:val="24"/>
          <w:szCs w:val="24"/>
        </w:rPr>
      </w:pPr>
      <w:r>
        <w:rPr>
          <w:rFonts w:ascii="宋体" w:hAnsi="宋体" w:eastAsia="宋体"/>
          <w:b/>
          <w:sz w:val="24"/>
          <w:szCs w:val="24"/>
        </w:rPr>
        <w:t>总体要求</w:t>
      </w:r>
    </w:p>
    <w:p w14:paraId="5655BDBB">
      <w:pPr>
        <w:pStyle w:val="2"/>
        <w:numPr>
          <w:ilvl w:val="0"/>
          <w:numId w:val="3"/>
        </w:numPr>
        <w:spacing w:line="360" w:lineRule="auto"/>
        <w:ind w:left="480" w:hanging="480" w:hangingChars="200"/>
        <w:rPr>
          <w:rFonts w:hint="default" w:ascii="宋体" w:hAnsi="宋体" w:eastAsia="宋体"/>
          <w:sz w:val="24"/>
          <w:szCs w:val="24"/>
        </w:rPr>
      </w:pPr>
      <w:r>
        <w:rPr>
          <w:rFonts w:ascii="宋体" w:hAnsi="宋体" w:eastAsia="宋体"/>
          <w:sz w:val="24"/>
          <w:szCs w:val="24"/>
        </w:rPr>
        <w:t>经费来源</w:t>
      </w:r>
    </w:p>
    <w:tbl>
      <w:tblPr>
        <w:tblStyle w:val="19"/>
        <w:tblW w:w="0" w:type="auto"/>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96"/>
        <w:gridCol w:w="4678"/>
      </w:tblGrid>
      <w:tr w14:paraId="57BA36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25C9D14">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02E28E">
            <w:pPr>
              <w:rPr>
                <w:rFonts w:hint="default" w:ascii="宋体" w:hAnsi="宋体" w:eastAsia="宋体"/>
                <w:kern w:val="0"/>
                <w:sz w:val="20"/>
              </w:rPr>
            </w:pPr>
            <w:r>
              <w:rPr>
                <w:rFonts w:ascii="宋体" w:hAnsi="宋体" w:eastAsia="宋体"/>
                <w:kern w:val="0"/>
                <w:sz w:val="20"/>
              </w:rPr>
              <w:t>教育部修购经费</w:t>
            </w:r>
          </w:p>
        </w:tc>
      </w:tr>
      <w:tr w14:paraId="524CCF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DD17E6B">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8EB9F59">
            <w:pPr>
              <w:rPr>
                <w:rFonts w:hint="default" w:ascii="宋体" w:hAnsi="宋体" w:eastAsia="宋体"/>
                <w:kern w:val="0"/>
                <w:sz w:val="20"/>
              </w:rPr>
            </w:pPr>
            <w:r>
              <w:rPr>
                <w:rFonts w:ascii="宋体" w:hAnsi="宋体" w:eastAsia="宋体"/>
                <w:kern w:val="0"/>
                <w:sz w:val="20"/>
              </w:rPr>
              <w:t>教学设备费</w:t>
            </w:r>
          </w:p>
        </w:tc>
      </w:tr>
      <w:tr w14:paraId="7ED11C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D2AD70">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8548DD0">
            <w:pPr>
              <w:rPr>
                <w:rFonts w:hint="default" w:ascii="宋体" w:hAnsi="宋体" w:eastAsia="宋体"/>
                <w:kern w:val="0"/>
                <w:sz w:val="20"/>
              </w:rPr>
            </w:pPr>
            <w:r>
              <w:rPr>
                <w:rFonts w:ascii="宋体" w:hAnsi="宋体" w:eastAsia="宋体"/>
                <w:kern w:val="0"/>
                <w:sz w:val="20"/>
              </w:rPr>
              <w:t>行政设备费</w:t>
            </w:r>
          </w:p>
        </w:tc>
      </w:tr>
      <w:tr w14:paraId="28B09E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322231">
            <w:pPr>
              <w:jc w:val="center"/>
              <w:rPr>
                <w:rFonts w:hint="default" w:ascii="宋体" w:hAnsi="宋体" w:eastAsia="宋体"/>
                <w:kern w:val="0"/>
                <w:sz w:val="20"/>
              </w:rPr>
            </w:pPr>
            <w:r>
              <w:rPr>
                <w:rFonts w:ascii="宋体" w:hAnsi="宋体" w:eastAsia="宋体"/>
                <w:kern w:val="0"/>
                <w:sz w:val="20"/>
              </w:rPr>
              <w:sym w:font="Wingdings 2" w:char="F052"/>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568ECA">
            <w:pPr>
              <w:rPr>
                <w:rFonts w:hint="default" w:ascii="宋体" w:hAnsi="宋体" w:eastAsia="宋体"/>
                <w:kern w:val="0"/>
                <w:sz w:val="20"/>
              </w:rPr>
            </w:pPr>
            <w:r>
              <w:rPr>
                <w:rFonts w:ascii="宋体" w:hAnsi="宋体" w:eastAsia="宋体"/>
                <w:kern w:val="0"/>
                <w:sz w:val="20"/>
              </w:rPr>
              <w:t>其他专项经费请注明：</w:t>
            </w:r>
            <w:r>
              <w:rPr>
                <w:rFonts w:hint="default" w:ascii="宋体" w:hAnsi="宋体" w:eastAsia="宋体"/>
                <w:kern w:val="0"/>
                <w:sz w:val="20"/>
              </w:rPr>
              <w:t xml:space="preserve"> </w:t>
            </w:r>
            <w:r>
              <w:rPr>
                <w:rFonts w:ascii="宋体" w:hAnsi="宋体" w:eastAsia="宋体"/>
                <w:kern w:val="0"/>
                <w:sz w:val="20"/>
              </w:rPr>
              <w:t>校信息化建设经费</w:t>
            </w:r>
          </w:p>
        </w:tc>
      </w:tr>
    </w:tbl>
    <w:p w14:paraId="1AC9A40D">
      <w:pPr>
        <w:pStyle w:val="2"/>
        <w:numPr>
          <w:ilvl w:val="0"/>
          <w:numId w:val="3"/>
        </w:numPr>
        <w:spacing w:line="360" w:lineRule="auto"/>
        <w:ind w:left="480" w:hanging="480" w:hangingChars="200"/>
        <w:rPr>
          <w:rFonts w:hint="default" w:ascii="宋体" w:hAnsi="宋体" w:eastAsia="宋体"/>
          <w:sz w:val="24"/>
          <w:szCs w:val="24"/>
        </w:rPr>
      </w:pPr>
      <w:r>
        <w:rPr>
          <w:rFonts w:ascii="宋体" w:hAnsi="宋体" w:eastAsia="宋体"/>
          <w:sz w:val="24"/>
          <w:szCs w:val="24"/>
        </w:rPr>
        <w:t>项目预算：20万元</w:t>
      </w:r>
    </w:p>
    <w:p w14:paraId="44A73E52">
      <w:pPr>
        <w:pStyle w:val="2"/>
        <w:numPr>
          <w:ilvl w:val="0"/>
          <w:numId w:val="3"/>
        </w:numPr>
        <w:spacing w:line="360" w:lineRule="auto"/>
        <w:ind w:left="480" w:hanging="480" w:hangingChars="200"/>
        <w:rPr>
          <w:rFonts w:hint="default" w:ascii="宋体" w:hAnsi="宋体" w:eastAsia="宋体"/>
          <w:sz w:val="24"/>
          <w:szCs w:val="24"/>
        </w:rPr>
      </w:pPr>
      <w:r>
        <w:rPr>
          <w:rFonts w:ascii="宋体" w:hAnsi="宋体" w:eastAsia="宋体"/>
          <w:sz w:val="24"/>
          <w:szCs w:val="24"/>
        </w:rPr>
        <w:t>项目申报部门：信息技术中心</w:t>
      </w:r>
    </w:p>
    <w:p w14:paraId="5F0EA116">
      <w:pPr>
        <w:spacing w:line="360" w:lineRule="auto"/>
        <w:ind w:firstLine="480" w:firstLineChars="200"/>
        <w:rPr>
          <w:rFonts w:hint="default" w:ascii="宋体" w:hAnsi="宋体" w:eastAsia="宋体"/>
          <w:sz w:val="24"/>
          <w:szCs w:val="24"/>
        </w:rPr>
      </w:pPr>
      <w:r>
        <w:rPr>
          <w:rFonts w:ascii="宋体" w:hAnsi="宋体" w:eastAsia="宋体"/>
          <w:sz w:val="24"/>
          <w:szCs w:val="24"/>
        </w:rPr>
        <w:t>项目负责人： 邓莎莎</w:t>
      </w:r>
    </w:p>
    <w:p w14:paraId="4F46A5E7">
      <w:pPr>
        <w:spacing w:line="360" w:lineRule="auto"/>
        <w:ind w:firstLine="480" w:firstLineChars="200"/>
        <w:rPr>
          <w:rFonts w:hint="default" w:ascii="宋体" w:hAnsi="宋体" w:eastAsia="宋体"/>
          <w:sz w:val="24"/>
          <w:szCs w:val="24"/>
        </w:rPr>
      </w:pPr>
      <w:r>
        <w:rPr>
          <w:rFonts w:ascii="宋体" w:hAnsi="宋体" w:eastAsia="宋体"/>
          <w:sz w:val="24"/>
          <w:szCs w:val="24"/>
        </w:rPr>
        <w:t>项目联络人： 王宁宁</w:t>
      </w:r>
    </w:p>
    <w:p w14:paraId="645771BF">
      <w:pPr>
        <w:spacing w:line="360" w:lineRule="auto"/>
        <w:ind w:firstLine="480" w:firstLineChars="200"/>
        <w:rPr>
          <w:rFonts w:hint="default" w:ascii="宋体" w:hAnsi="宋体" w:eastAsia="宋体"/>
          <w:sz w:val="24"/>
          <w:szCs w:val="24"/>
        </w:rPr>
      </w:pPr>
      <w:r>
        <w:rPr>
          <w:rFonts w:ascii="宋体" w:hAnsi="宋体" w:eastAsia="宋体"/>
          <w:sz w:val="24"/>
          <w:szCs w:val="24"/>
        </w:rPr>
        <w:t>联系电话：</w:t>
      </w:r>
      <w:r>
        <w:rPr>
          <w:rFonts w:hint="default" w:ascii="宋体" w:hAnsi="宋体" w:eastAsia="宋体"/>
          <w:sz w:val="24"/>
          <w:szCs w:val="24"/>
        </w:rPr>
        <w:t xml:space="preserve"> 021-67701909</w:t>
      </w:r>
    </w:p>
    <w:p w14:paraId="09B39CA2">
      <w:pPr>
        <w:spacing w:line="360" w:lineRule="auto"/>
        <w:ind w:firstLine="480" w:firstLineChars="200"/>
        <w:rPr>
          <w:rFonts w:hint="default" w:ascii="宋体" w:hAnsi="宋体" w:eastAsia="宋体"/>
          <w:sz w:val="24"/>
          <w:szCs w:val="24"/>
        </w:rPr>
      </w:pPr>
      <w:r>
        <w:rPr>
          <w:rFonts w:ascii="宋体" w:hAnsi="宋体" w:eastAsia="宋体"/>
          <w:sz w:val="24"/>
          <w:szCs w:val="24"/>
        </w:rPr>
        <w:t>邮箱：wnn@shisu.edu.cn</w:t>
      </w:r>
    </w:p>
    <w:p w14:paraId="4A8CAA13">
      <w:pPr>
        <w:pStyle w:val="2"/>
        <w:numPr>
          <w:ilvl w:val="0"/>
          <w:numId w:val="3"/>
        </w:numPr>
        <w:spacing w:line="360" w:lineRule="auto"/>
        <w:ind w:left="480" w:hanging="480" w:hangingChars="200"/>
        <w:rPr>
          <w:rFonts w:hint="default" w:ascii="宋体" w:hAnsi="宋体" w:eastAsia="宋体"/>
          <w:sz w:val="24"/>
          <w:szCs w:val="24"/>
        </w:rPr>
      </w:pPr>
      <w:r>
        <w:rPr>
          <w:rFonts w:ascii="宋体" w:hAnsi="宋体" w:eastAsia="宋体"/>
          <w:sz w:val="24"/>
          <w:szCs w:val="24"/>
        </w:rPr>
        <w:t>响应文件要求</w:t>
      </w:r>
    </w:p>
    <w:p w14:paraId="11656FB9">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1)</w:t>
      </w:r>
      <w:r>
        <w:rPr>
          <w:rFonts w:hint="default" w:ascii="宋体" w:hAnsi="宋体" w:eastAsia="宋体"/>
          <w:sz w:val="24"/>
          <w:szCs w:val="24"/>
        </w:rPr>
        <w:tab/>
      </w:r>
      <w:r>
        <w:rPr>
          <w:rFonts w:ascii="宋体" w:hAnsi="宋体" w:eastAsia="宋体"/>
          <w:sz w:val="24"/>
          <w:szCs w:val="24"/>
        </w:rPr>
        <w:t>响应</w:t>
      </w:r>
      <w:r>
        <w:rPr>
          <w:rFonts w:hint="default" w:ascii="宋体" w:hAnsi="宋体" w:eastAsia="宋体"/>
          <w:sz w:val="24"/>
          <w:szCs w:val="24"/>
        </w:rPr>
        <w:t>文件的套数：5本（1正本、4副本）</w:t>
      </w:r>
    </w:p>
    <w:p w14:paraId="7B7BD75B">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2)</w:t>
      </w:r>
      <w:r>
        <w:rPr>
          <w:rFonts w:hint="default" w:ascii="宋体" w:hAnsi="宋体" w:eastAsia="宋体"/>
          <w:sz w:val="24"/>
          <w:szCs w:val="24"/>
        </w:rPr>
        <w:tab/>
      </w:r>
      <w:r>
        <w:rPr>
          <w:rFonts w:ascii="宋体" w:hAnsi="宋体" w:eastAsia="宋体"/>
          <w:sz w:val="24"/>
          <w:szCs w:val="24"/>
        </w:rPr>
        <w:t>响应</w:t>
      </w:r>
      <w:r>
        <w:rPr>
          <w:rFonts w:hint="default" w:ascii="宋体" w:hAnsi="宋体" w:eastAsia="宋体"/>
          <w:sz w:val="24"/>
          <w:szCs w:val="24"/>
        </w:rPr>
        <w:t>截止日期：2025年9月</w:t>
      </w:r>
      <w:r>
        <w:rPr>
          <w:rFonts w:hint="eastAsia" w:ascii="宋体" w:hAnsi="宋体" w:eastAsia="宋体"/>
          <w:sz w:val="24"/>
          <w:szCs w:val="24"/>
          <w:lang w:val="en-US" w:eastAsia="zh-CN"/>
        </w:rPr>
        <w:t>26</w:t>
      </w:r>
      <w:r>
        <w:rPr>
          <w:rFonts w:hint="default" w:ascii="宋体" w:hAnsi="宋体" w:eastAsia="宋体"/>
          <w:sz w:val="24"/>
          <w:szCs w:val="24"/>
        </w:rPr>
        <w:t>日（北京时间）</w:t>
      </w:r>
    </w:p>
    <w:p w14:paraId="5901C561">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3)</w:t>
      </w:r>
      <w:r>
        <w:rPr>
          <w:rFonts w:hint="default" w:ascii="宋体" w:hAnsi="宋体" w:eastAsia="宋体"/>
          <w:sz w:val="24"/>
          <w:szCs w:val="24"/>
        </w:rPr>
        <w:tab/>
      </w:r>
      <w:r>
        <w:rPr>
          <w:rFonts w:ascii="宋体" w:hAnsi="宋体" w:eastAsia="宋体"/>
          <w:sz w:val="24"/>
          <w:szCs w:val="24"/>
        </w:rPr>
        <w:t>响应</w:t>
      </w:r>
      <w:r>
        <w:rPr>
          <w:rFonts w:hint="default" w:ascii="宋体" w:hAnsi="宋体" w:eastAsia="宋体"/>
          <w:sz w:val="24"/>
          <w:szCs w:val="24"/>
        </w:rPr>
        <w:t>文件递交地址：松江区文翔路1550号上海外国</w:t>
      </w:r>
      <w:bookmarkStart w:id="0" w:name="_GoBack"/>
      <w:bookmarkEnd w:id="0"/>
      <w:r>
        <w:rPr>
          <w:rFonts w:hint="default" w:ascii="宋体" w:hAnsi="宋体" w:eastAsia="宋体"/>
          <w:sz w:val="24"/>
          <w:szCs w:val="24"/>
        </w:rPr>
        <w:t>语大学图文信息中心5层J507室</w:t>
      </w:r>
    </w:p>
    <w:p w14:paraId="33FDF5E0">
      <w:pPr>
        <w:spacing w:line="360" w:lineRule="auto"/>
        <w:ind w:firstLine="480" w:firstLineChars="200"/>
        <w:rPr>
          <w:rFonts w:hint="default" w:ascii="宋体" w:hAnsi="宋体" w:eastAsia="宋体"/>
          <w:sz w:val="24"/>
          <w:szCs w:val="24"/>
        </w:rPr>
      </w:pPr>
      <w:r>
        <w:rPr>
          <w:rFonts w:hint="default" w:ascii="宋体" w:hAnsi="宋体" w:eastAsia="宋体"/>
          <w:sz w:val="24"/>
          <w:szCs w:val="24"/>
        </w:rPr>
        <w:t>4)</w:t>
      </w:r>
      <w:r>
        <w:rPr>
          <w:rFonts w:hint="default" w:ascii="宋体" w:hAnsi="宋体" w:eastAsia="宋体"/>
          <w:sz w:val="24"/>
          <w:szCs w:val="24"/>
        </w:rPr>
        <w:tab/>
      </w:r>
      <w:r>
        <w:rPr>
          <w:rFonts w:ascii="宋体" w:hAnsi="宋体" w:eastAsia="宋体"/>
          <w:sz w:val="24"/>
          <w:szCs w:val="24"/>
        </w:rPr>
        <w:t>响应</w:t>
      </w:r>
      <w:r>
        <w:rPr>
          <w:rFonts w:hint="default" w:ascii="宋体" w:hAnsi="宋体" w:eastAsia="宋体"/>
          <w:sz w:val="24"/>
          <w:szCs w:val="24"/>
        </w:rPr>
        <w:t>文件扫描件（PDF格式）发送邮箱地址：</w:t>
      </w:r>
      <w:r>
        <w:rPr>
          <w:rFonts w:ascii="宋体" w:hAnsi="宋体" w:eastAsia="宋体"/>
          <w:sz w:val="24"/>
          <w:szCs w:val="24"/>
        </w:rPr>
        <w:t>by</w:t>
      </w:r>
      <w:r>
        <w:rPr>
          <w:rFonts w:hint="default" w:ascii="宋体" w:hAnsi="宋体" w:eastAsia="宋体"/>
          <w:sz w:val="24"/>
          <w:szCs w:val="24"/>
        </w:rPr>
        <w:t>@shisu.edu.cn</w:t>
      </w:r>
    </w:p>
    <w:p w14:paraId="30CE71D6">
      <w:pPr>
        <w:pStyle w:val="2"/>
        <w:numPr>
          <w:ilvl w:val="0"/>
          <w:numId w:val="3"/>
        </w:numPr>
        <w:spacing w:line="360" w:lineRule="auto"/>
        <w:rPr>
          <w:rFonts w:hint="default" w:ascii="宋体" w:hAnsi="宋体" w:eastAsia="宋体"/>
          <w:sz w:val="24"/>
          <w:szCs w:val="24"/>
        </w:rPr>
      </w:pPr>
      <w:r>
        <w:rPr>
          <w:rFonts w:ascii="宋体" w:hAnsi="宋体" w:eastAsia="宋体"/>
          <w:sz w:val="24"/>
          <w:szCs w:val="24"/>
        </w:rPr>
        <w:t>简述项目整体情况及需求</w:t>
      </w:r>
    </w:p>
    <w:p w14:paraId="7AF1E1F3">
      <w:pPr>
        <w:pStyle w:val="2"/>
        <w:numPr>
          <w:ilvl w:val="0"/>
          <w:numId w:val="4"/>
        </w:numPr>
        <w:spacing w:line="360" w:lineRule="auto"/>
        <w:rPr>
          <w:rFonts w:hint="default" w:ascii="宋体" w:hAnsi="宋体" w:eastAsia="宋体"/>
          <w:sz w:val="24"/>
          <w:szCs w:val="24"/>
        </w:rPr>
      </w:pPr>
      <w:r>
        <w:rPr>
          <w:rFonts w:ascii="宋体" w:hAnsi="宋体" w:eastAsia="宋体"/>
          <w:sz w:val="24"/>
          <w:szCs w:val="24"/>
        </w:rPr>
        <w:t>现有情况</w:t>
      </w:r>
    </w:p>
    <w:p w14:paraId="2C7624DC">
      <w:pPr>
        <w:spacing w:line="360" w:lineRule="auto"/>
        <w:ind w:firstLine="480" w:firstLineChars="200"/>
        <w:rPr>
          <w:rFonts w:hint="default" w:ascii="宋体" w:hAnsi="宋体" w:eastAsia="宋体"/>
          <w:sz w:val="24"/>
          <w:szCs w:val="24"/>
        </w:rPr>
      </w:pPr>
      <w:r>
        <w:rPr>
          <w:rFonts w:ascii="宋体" w:hAnsi="宋体" w:eastAsia="宋体"/>
          <w:sz w:val="24"/>
          <w:szCs w:val="24"/>
        </w:rPr>
        <w:t>2019年，我校采购了"基于企业微信的移动校园平台建设项目"，建设内容包括移动校园门户、统一消息中心、移动活动签到管理系统三个主要模块。目前，我校企业微信组织架构需要重新梳理，师生在自助绑定账号加入企业微信时常需要人工协助导致师生抱怨；统一消息中心对接了49个业务系统，消息中心版本较老存在网络安全隐患，并存在一些诸如消息发送渠道消失等问题，项目亟需升级优化。</w:t>
      </w:r>
    </w:p>
    <w:p w14:paraId="4B70CFE2">
      <w:pPr>
        <w:pStyle w:val="2"/>
        <w:numPr>
          <w:ilvl w:val="0"/>
          <w:numId w:val="4"/>
        </w:numPr>
        <w:spacing w:line="360" w:lineRule="auto"/>
        <w:rPr>
          <w:rFonts w:hint="default" w:ascii="宋体" w:hAnsi="宋体" w:eastAsia="宋体"/>
          <w:sz w:val="24"/>
          <w:szCs w:val="24"/>
        </w:rPr>
      </w:pPr>
      <w:r>
        <w:rPr>
          <w:rFonts w:ascii="宋体" w:hAnsi="宋体" w:eastAsia="宋体"/>
          <w:sz w:val="24"/>
          <w:szCs w:val="24"/>
        </w:rPr>
        <w:t>本次采购概况</w:t>
      </w:r>
    </w:p>
    <w:p w14:paraId="41E3E146">
      <w:pPr>
        <w:spacing w:line="360" w:lineRule="auto"/>
        <w:ind w:firstLine="480" w:firstLineChars="200"/>
        <w:rPr>
          <w:rFonts w:hint="default" w:ascii="宋体" w:hAnsi="宋体" w:eastAsia="宋体"/>
          <w:sz w:val="24"/>
          <w:szCs w:val="24"/>
        </w:rPr>
      </w:pPr>
      <w:r>
        <w:rPr>
          <w:rFonts w:ascii="宋体" w:hAnsi="宋体" w:eastAsia="宋体"/>
          <w:sz w:val="24"/>
          <w:szCs w:val="24"/>
        </w:rPr>
        <w:t>本次采购主要在原有基础上做一些系统升级，主要包括消息中先升级、企业微信管理升级及相关数据迁移，以更好地为我校师生服务。</w:t>
      </w:r>
    </w:p>
    <w:p w14:paraId="5E4621E7">
      <w:pPr>
        <w:pStyle w:val="2"/>
        <w:numPr>
          <w:ilvl w:val="0"/>
          <w:numId w:val="4"/>
        </w:numPr>
        <w:spacing w:line="360" w:lineRule="auto"/>
        <w:rPr>
          <w:rFonts w:hint="default" w:ascii="宋体" w:hAnsi="宋体" w:eastAsia="宋体"/>
          <w:sz w:val="24"/>
          <w:szCs w:val="24"/>
        </w:rPr>
      </w:pPr>
      <w:r>
        <w:rPr>
          <w:rFonts w:ascii="宋体" w:hAnsi="宋体" w:eastAsia="宋体"/>
          <w:sz w:val="24"/>
          <w:szCs w:val="24"/>
        </w:rPr>
        <w:t>预期效果</w:t>
      </w:r>
    </w:p>
    <w:p w14:paraId="438F9533">
      <w:pPr>
        <w:pStyle w:val="2"/>
        <w:spacing w:line="360" w:lineRule="auto"/>
        <w:ind w:firstLine="480" w:firstLineChars="200"/>
        <w:rPr>
          <w:rFonts w:hint="default" w:ascii="宋体" w:hAnsi="宋体" w:eastAsia="宋体"/>
          <w:sz w:val="24"/>
          <w:szCs w:val="24"/>
        </w:rPr>
      </w:pPr>
      <w:r>
        <w:rPr>
          <w:rFonts w:ascii="宋体" w:hAnsi="宋体" w:eastAsia="宋体"/>
          <w:sz w:val="24"/>
          <w:szCs w:val="24"/>
        </w:rPr>
        <w:t>通过本项目的实施，帮助解决我校现有消息中心及企业微信管理系统中存在的问题，提高服务效率。</w:t>
      </w:r>
    </w:p>
    <w:p w14:paraId="765BB026">
      <w:pPr>
        <w:pStyle w:val="2"/>
        <w:numPr>
          <w:ilvl w:val="0"/>
          <w:numId w:val="2"/>
        </w:numPr>
        <w:spacing w:line="360" w:lineRule="auto"/>
        <w:ind w:left="482" w:hanging="482" w:hangingChars="200"/>
        <w:rPr>
          <w:rFonts w:hint="default" w:ascii="宋体" w:hAnsi="宋体" w:eastAsia="宋体"/>
          <w:b/>
          <w:sz w:val="24"/>
          <w:szCs w:val="24"/>
        </w:rPr>
      </w:pPr>
      <w:r>
        <w:rPr>
          <w:rFonts w:ascii="宋体" w:hAnsi="宋体" w:eastAsia="宋体"/>
          <w:b/>
          <w:sz w:val="24"/>
          <w:szCs w:val="24"/>
        </w:rPr>
        <w:t>产品规格参数及预算</w:t>
      </w:r>
    </w:p>
    <w:tbl>
      <w:tblPr>
        <w:tblStyle w:val="14"/>
        <w:tblW w:w="9586" w:type="dxa"/>
        <w:jc w:val="center"/>
        <w:tblLayout w:type="fixed"/>
        <w:tblCellMar>
          <w:top w:w="0" w:type="dxa"/>
          <w:left w:w="108" w:type="dxa"/>
          <w:bottom w:w="0" w:type="dxa"/>
          <w:right w:w="108" w:type="dxa"/>
        </w:tblCellMar>
      </w:tblPr>
      <w:tblGrid>
        <w:gridCol w:w="546"/>
        <w:gridCol w:w="775"/>
        <w:gridCol w:w="1225"/>
        <w:gridCol w:w="5954"/>
        <w:gridCol w:w="1086"/>
      </w:tblGrid>
      <w:tr w14:paraId="5D64B4CD">
        <w:tblPrEx>
          <w:tblCellMar>
            <w:top w:w="0" w:type="dxa"/>
            <w:left w:w="108" w:type="dxa"/>
            <w:bottom w:w="0" w:type="dxa"/>
            <w:right w:w="108" w:type="dxa"/>
          </w:tblCellMar>
        </w:tblPrEx>
        <w:trPr>
          <w:trHeight w:val="285"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F3985">
            <w:pPr>
              <w:widowControl/>
              <w:jc w:val="center"/>
              <w:textAlignment w:val="bottom"/>
              <w:rPr>
                <w:rFonts w:hint="default" w:ascii="宋体" w:hAnsi="宋体" w:eastAsia="宋体" w:cs="宋体"/>
                <w:sz w:val="24"/>
                <w:szCs w:val="24"/>
              </w:rPr>
            </w:pPr>
            <w:r>
              <w:rPr>
                <w:rFonts w:ascii="宋体" w:hAnsi="宋体" w:eastAsia="宋体" w:cs="宋体"/>
                <w:kern w:val="0"/>
                <w:sz w:val="24"/>
                <w:szCs w:val="24"/>
                <w:lang w:bidi="ar"/>
              </w:rPr>
              <w:t>序号</w:t>
            </w:r>
          </w:p>
        </w:tc>
        <w:tc>
          <w:tcPr>
            <w:tcW w:w="775" w:type="dxa"/>
            <w:tcBorders>
              <w:top w:val="single" w:color="auto" w:sz="4" w:space="0"/>
              <w:left w:val="nil"/>
              <w:bottom w:val="single" w:color="auto" w:sz="4" w:space="0"/>
              <w:right w:val="single" w:color="auto" w:sz="4" w:space="0"/>
            </w:tcBorders>
            <w:shd w:val="clear" w:color="000000" w:fill="auto"/>
            <w:noWrap/>
            <w:vAlign w:val="center"/>
          </w:tcPr>
          <w:p w14:paraId="1A1CBB05">
            <w:pPr>
              <w:widowControl/>
              <w:jc w:val="center"/>
              <w:textAlignment w:val="center"/>
              <w:rPr>
                <w:rFonts w:hint="default" w:ascii="宋体" w:hAnsi="宋体" w:eastAsia="宋体" w:cs="宋体"/>
                <w:b/>
                <w:bCs/>
                <w:sz w:val="24"/>
                <w:szCs w:val="24"/>
              </w:rPr>
            </w:pPr>
            <w:r>
              <w:rPr>
                <w:rFonts w:ascii="宋体" w:hAnsi="宋体" w:eastAsia="宋体" w:cs="宋体"/>
                <w:kern w:val="0"/>
                <w:sz w:val="24"/>
                <w:szCs w:val="24"/>
                <w:lang w:bidi="ar"/>
              </w:rPr>
              <w:t>项目模块</w:t>
            </w:r>
          </w:p>
        </w:tc>
        <w:tc>
          <w:tcPr>
            <w:tcW w:w="1225" w:type="dxa"/>
            <w:tcBorders>
              <w:top w:val="single" w:color="auto" w:sz="4" w:space="0"/>
              <w:left w:val="nil"/>
              <w:bottom w:val="single" w:color="auto" w:sz="4" w:space="0"/>
              <w:right w:val="single" w:color="auto" w:sz="4" w:space="0"/>
            </w:tcBorders>
            <w:shd w:val="clear" w:color="000000" w:fill="auto"/>
            <w:noWrap/>
            <w:vAlign w:val="center"/>
          </w:tcPr>
          <w:p w14:paraId="5F8E38AE">
            <w:pPr>
              <w:widowControl/>
              <w:jc w:val="center"/>
              <w:textAlignment w:val="center"/>
              <w:rPr>
                <w:rFonts w:hint="default" w:ascii="宋体" w:hAnsi="宋体" w:eastAsia="宋体" w:cs="宋体"/>
                <w:b/>
                <w:bCs/>
                <w:sz w:val="24"/>
                <w:szCs w:val="24"/>
              </w:rPr>
            </w:pPr>
            <w:r>
              <w:rPr>
                <w:rFonts w:ascii="宋体" w:hAnsi="宋体" w:eastAsia="宋体" w:cs="宋体"/>
                <w:kern w:val="0"/>
                <w:sz w:val="24"/>
                <w:szCs w:val="24"/>
                <w:lang w:bidi="ar"/>
              </w:rPr>
              <w:t>子模块</w:t>
            </w:r>
          </w:p>
        </w:tc>
        <w:tc>
          <w:tcPr>
            <w:tcW w:w="5954" w:type="dxa"/>
            <w:tcBorders>
              <w:top w:val="single" w:color="auto" w:sz="4" w:space="0"/>
              <w:left w:val="nil"/>
              <w:bottom w:val="single" w:color="auto" w:sz="4" w:space="0"/>
              <w:right w:val="single" w:color="auto" w:sz="4" w:space="0"/>
            </w:tcBorders>
            <w:shd w:val="clear" w:color="000000" w:fill="auto"/>
            <w:noWrap/>
            <w:vAlign w:val="center"/>
          </w:tcPr>
          <w:p w14:paraId="491C14D0">
            <w:pPr>
              <w:widowControl/>
              <w:jc w:val="center"/>
              <w:textAlignment w:val="center"/>
              <w:rPr>
                <w:rFonts w:hint="default" w:ascii="宋体" w:hAnsi="宋体" w:eastAsia="宋体" w:cs="宋体"/>
                <w:b/>
                <w:bCs/>
                <w:sz w:val="24"/>
                <w:szCs w:val="24"/>
              </w:rPr>
            </w:pPr>
            <w:r>
              <w:rPr>
                <w:rFonts w:ascii="宋体" w:hAnsi="宋体" w:eastAsia="宋体" w:cs="宋体"/>
                <w:kern w:val="0"/>
                <w:sz w:val="24"/>
                <w:szCs w:val="24"/>
                <w:lang w:bidi="ar"/>
              </w:rPr>
              <w:t>功能描述</w:t>
            </w:r>
          </w:p>
        </w:tc>
        <w:tc>
          <w:tcPr>
            <w:tcW w:w="1086" w:type="dxa"/>
            <w:tcBorders>
              <w:top w:val="single" w:color="auto" w:sz="4" w:space="0"/>
              <w:left w:val="nil"/>
              <w:bottom w:val="single" w:color="auto" w:sz="4" w:space="0"/>
              <w:right w:val="single" w:color="auto" w:sz="4" w:space="0"/>
            </w:tcBorders>
            <w:shd w:val="clear" w:color="000000" w:fill="auto"/>
            <w:noWrap/>
            <w:vAlign w:val="center"/>
          </w:tcPr>
          <w:p w14:paraId="2D0DF709">
            <w:pPr>
              <w:pStyle w:val="8"/>
              <w:ind w:left="0" w:right="0" w:firstLine="0" w:firstLineChars="0"/>
              <w:jc w:val="center"/>
              <w:rPr>
                <w:rFonts w:hint="default" w:ascii="宋体" w:hAnsi="宋体" w:eastAsia="宋体" w:cs="宋体"/>
                <w:sz w:val="24"/>
                <w:szCs w:val="24"/>
              </w:rPr>
            </w:pPr>
            <w:r>
              <w:rPr>
                <w:rFonts w:ascii="宋体" w:hAnsi="宋体" w:eastAsia="宋体" w:cs="宋体"/>
                <w:sz w:val="24"/>
                <w:szCs w:val="24"/>
              </w:rPr>
              <w:t>预算</w:t>
            </w:r>
          </w:p>
          <w:p w14:paraId="54316F48">
            <w:pPr>
              <w:pStyle w:val="8"/>
              <w:ind w:left="0" w:right="0" w:firstLine="0" w:firstLineChars="0"/>
              <w:jc w:val="center"/>
              <w:rPr>
                <w:rFonts w:hint="default" w:ascii="宋体" w:hAnsi="宋体" w:eastAsia="宋体" w:cs="宋体"/>
                <w:sz w:val="24"/>
                <w:szCs w:val="24"/>
              </w:rPr>
            </w:pPr>
            <w:r>
              <w:rPr>
                <w:rFonts w:ascii="宋体" w:hAnsi="宋体" w:eastAsia="宋体" w:cs="宋体"/>
                <w:sz w:val="24"/>
                <w:szCs w:val="24"/>
              </w:rPr>
              <w:t>（万元）</w:t>
            </w:r>
          </w:p>
        </w:tc>
      </w:tr>
      <w:tr w14:paraId="6DC088E8">
        <w:tblPrEx>
          <w:tblCellMar>
            <w:top w:w="0" w:type="dxa"/>
            <w:left w:w="108" w:type="dxa"/>
            <w:bottom w:w="0" w:type="dxa"/>
            <w:right w:w="108" w:type="dxa"/>
          </w:tblCellMar>
        </w:tblPrEx>
        <w:trPr>
          <w:trHeight w:val="708"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vAlign w:val="center"/>
          </w:tcPr>
          <w:p w14:paraId="31F207AA">
            <w:pPr>
              <w:widowControl/>
              <w:jc w:val="center"/>
              <w:textAlignment w:val="bottom"/>
              <w:rPr>
                <w:rFonts w:hint="default" w:ascii="宋体" w:hAnsi="宋体" w:eastAsia="宋体" w:cs="宋体"/>
                <w:sz w:val="24"/>
                <w:szCs w:val="24"/>
              </w:rPr>
            </w:pPr>
            <w:r>
              <w:rPr>
                <w:rFonts w:ascii="宋体" w:hAnsi="宋体" w:eastAsia="宋体" w:cs="宋体"/>
                <w:kern w:val="0"/>
                <w:sz w:val="24"/>
                <w:szCs w:val="24"/>
                <w:lang w:bidi="ar"/>
              </w:rPr>
              <w:t>1</w:t>
            </w:r>
          </w:p>
        </w:tc>
        <w:tc>
          <w:tcPr>
            <w:tcW w:w="775" w:type="dxa"/>
            <w:vMerge w:val="restart"/>
            <w:tcBorders>
              <w:top w:val="nil"/>
              <w:left w:val="single" w:color="auto" w:sz="4" w:space="0"/>
              <w:bottom w:val="single" w:color="auto" w:sz="4" w:space="0"/>
              <w:right w:val="single" w:color="auto" w:sz="4" w:space="0"/>
            </w:tcBorders>
            <w:shd w:val="clear" w:color="auto" w:fill="auto"/>
            <w:noWrap/>
            <w:vAlign w:val="center"/>
          </w:tcPr>
          <w:p w14:paraId="79B66C6B">
            <w:pPr>
              <w:widowControl/>
              <w:textAlignment w:val="bottom"/>
              <w:rPr>
                <w:rFonts w:hint="default" w:ascii="宋体" w:hAnsi="宋体" w:eastAsia="宋体" w:cs="宋体"/>
                <w:sz w:val="24"/>
                <w:szCs w:val="24"/>
              </w:rPr>
            </w:pPr>
            <w:r>
              <w:rPr>
                <w:rFonts w:ascii="宋体" w:hAnsi="宋体" w:eastAsia="宋体" w:cs="宋体"/>
                <w:kern w:val="0"/>
                <w:sz w:val="24"/>
                <w:szCs w:val="24"/>
                <w:lang w:bidi="ar"/>
              </w:rPr>
              <w:t>消息中心升级</w:t>
            </w:r>
          </w:p>
        </w:tc>
        <w:tc>
          <w:tcPr>
            <w:tcW w:w="122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9FE287E">
            <w:pPr>
              <w:widowControl/>
              <w:jc w:val="both"/>
              <w:textAlignment w:val="center"/>
              <w:rPr>
                <w:rFonts w:hint="default" w:ascii="宋体" w:hAnsi="宋体" w:eastAsia="宋体" w:cs="宋体"/>
                <w:sz w:val="24"/>
                <w:szCs w:val="24"/>
              </w:rPr>
            </w:pPr>
            <w:r>
              <w:rPr>
                <w:rFonts w:ascii="宋体" w:hAnsi="宋体" w:eastAsia="宋体" w:cs="宋体"/>
                <w:kern w:val="0"/>
                <w:sz w:val="24"/>
                <w:szCs w:val="24"/>
                <w:lang w:bidi="ar"/>
              </w:rPr>
              <w:t>消息发送模式</w:t>
            </w:r>
          </w:p>
        </w:tc>
        <w:tc>
          <w:tcPr>
            <w:tcW w:w="595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B1C5B9">
            <w:pPr>
              <w:widowControl/>
              <w:jc w:val="both"/>
              <w:textAlignment w:val="center"/>
              <w:rPr>
                <w:rFonts w:hint="default" w:ascii="宋体" w:hAnsi="宋体" w:eastAsia="宋体" w:cs="宋体"/>
                <w:sz w:val="24"/>
                <w:szCs w:val="24"/>
              </w:rPr>
            </w:pPr>
            <w:r>
              <w:rPr>
                <w:rFonts w:ascii="宋体" w:hAnsi="宋体" w:eastAsia="宋体" w:cs="宋体"/>
                <w:kern w:val="0"/>
                <w:sz w:val="24"/>
                <w:szCs w:val="24"/>
                <w:lang w:bidi="ar"/>
              </w:rPr>
              <w:t>消息管理员可选择发送表格消息和周期消息</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在增加表格消息的稳定性，优化表格模板</w:t>
            </w:r>
            <w:r>
              <w:rPr>
                <w:rFonts w:ascii="宋体" w:hAnsi="宋体" w:eastAsia="宋体" w:cs="宋体"/>
                <w:kern w:val="0"/>
                <w:sz w:val="24"/>
                <w:szCs w:val="24"/>
                <w:lang w:bidi="ar"/>
              </w:rPr>
              <w:t>。</w:t>
            </w:r>
          </w:p>
        </w:tc>
        <w:tc>
          <w:tcPr>
            <w:tcW w:w="1086" w:type="dxa"/>
            <w:vMerge w:val="restart"/>
            <w:tcBorders>
              <w:top w:val="nil"/>
              <w:left w:val="nil"/>
              <w:right w:val="single" w:color="auto" w:sz="4" w:space="0"/>
            </w:tcBorders>
            <w:shd w:val="clear" w:color="000000" w:fill="FFFFFF"/>
            <w:noWrap/>
            <w:vAlign w:val="center"/>
          </w:tcPr>
          <w:p w14:paraId="2B6BC52C">
            <w:pPr>
              <w:widowControl/>
              <w:jc w:val="cente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12</w:t>
            </w:r>
          </w:p>
        </w:tc>
      </w:tr>
      <w:tr w14:paraId="12599DFA">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19D70955">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13D24B5D">
            <w:pPr>
              <w:rPr>
                <w:rFonts w:hint="default" w:ascii="宋体" w:hAnsi="宋体" w:eastAsia="宋体" w:cs="宋体"/>
                <w:sz w:val="24"/>
                <w:szCs w:val="24"/>
              </w:rPr>
            </w:pPr>
          </w:p>
        </w:tc>
        <w:tc>
          <w:tcPr>
            <w:tcW w:w="1225"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182A4605">
            <w:pPr>
              <w:widowControl/>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第三方接入管理</w:t>
            </w:r>
          </w:p>
          <w:p w14:paraId="61F72A6A">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　</w:t>
            </w:r>
          </w:p>
        </w:tc>
        <w:tc>
          <w:tcPr>
            <w:tcW w:w="595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B3343B">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第三方系统渠道控制；支持归属部门、作用域范围、是否优先推送设置。</w:t>
            </w:r>
          </w:p>
        </w:tc>
        <w:tc>
          <w:tcPr>
            <w:tcW w:w="1086" w:type="dxa"/>
            <w:vMerge w:val="continue"/>
            <w:tcBorders>
              <w:left w:val="nil"/>
              <w:right w:val="single" w:color="auto" w:sz="4" w:space="0"/>
            </w:tcBorders>
            <w:shd w:val="clear" w:color="000000" w:fill="FFFFFF"/>
            <w:noWrap/>
            <w:vAlign w:val="center"/>
          </w:tcPr>
          <w:p w14:paraId="023A5E5E">
            <w:pPr>
              <w:widowControl/>
              <w:jc w:val="center"/>
              <w:textAlignment w:val="center"/>
              <w:rPr>
                <w:rFonts w:hint="default" w:ascii="宋体" w:hAnsi="宋体" w:eastAsia="宋体" w:cs="宋体"/>
                <w:kern w:val="0"/>
                <w:sz w:val="24"/>
                <w:szCs w:val="24"/>
                <w:lang w:bidi="ar"/>
              </w:rPr>
            </w:pPr>
          </w:p>
        </w:tc>
      </w:tr>
      <w:tr w14:paraId="3DE36910">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236899B2">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0A41AB9B">
            <w:pPr>
              <w:rPr>
                <w:rFonts w:hint="default" w:ascii="宋体" w:hAnsi="宋体" w:eastAsia="宋体" w:cs="宋体"/>
                <w:sz w:val="24"/>
                <w:szCs w:val="24"/>
              </w:rPr>
            </w:pPr>
          </w:p>
        </w:tc>
        <w:tc>
          <w:tcPr>
            <w:tcW w:w="1225" w:type="dxa"/>
            <w:vMerge w:val="continue"/>
            <w:tcBorders>
              <w:top w:val="single" w:color="auto" w:sz="4" w:space="0"/>
              <w:left w:val="single" w:color="auto" w:sz="4" w:space="0"/>
              <w:right w:val="single" w:color="auto" w:sz="4" w:space="0"/>
            </w:tcBorders>
            <w:shd w:val="clear" w:color="000000" w:fill="FFFFFF"/>
            <w:noWrap/>
            <w:vAlign w:val="center"/>
          </w:tcPr>
          <w:p w14:paraId="4C3F5E23">
            <w:pPr>
              <w:rPr>
                <w:rFonts w:hint="default" w:ascii="宋体" w:hAnsi="宋体" w:eastAsia="宋体" w:cs="宋体"/>
                <w:sz w:val="24"/>
                <w:szCs w:val="24"/>
              </w:rPr>
            </w:pPr>
          </w:p>
        </w:tc>
        <w:tc>
          <w:tcPr>
            <w:tcW w:w="5954" w:type="dxa"/>
            <w:tcBorders>
              <w:top w:val="single" w:color="auto" w:sz="4" w:space="0"/>
              <w:left w:val="nil"/>
              <w:bottom w:val="single" w:color="auto" w:sz="4" w:space="0"/>
              <w:right w:val="single" w:color="auto" w:sz="4" w:space="0"/>
            </w:tcBorders>
            <w:shd w:val="clear" w:color="000000" w:fill="FFFFFF"/>
            <w:noWrap/>
            <w:vAlign w:val="center"/>
          </w:tcPr>
          <w:p w14:paraId="011D73A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支持归属部门、作用域范围、是否优先推送设置。</w:t>
            </w:r>
          </w:p>
        </w:tc>
        <w:tc>
          <w:tcPr>
            <w:tcW w:w="1086" w:type="dxa"/>
            <w:vMerge w:val="continue"/>
            <w:tcBorders>
              <w:left w:val="nil"/>
              <w:right w:val="single" w:color="auto" w:sz="4" w:space="0"/>
            </w:tcBorders>
            <w:shd w:val="clear" w:color="000000" w:fill="FFFFFF"/>
            <w:noWrap/>
            <w:vAlign w:val="center"/>
          </w:tcPr>
          <w:p w14:paraId="7EB604FD">
            <w:pPr>
              <w:widowControl/>
              <w:jc w:val="center"/>
              <w:textAlignment w:val="center"/>
              <w:rPr>
                <w:rFonts w:hint="default" w:ascii="宋体" w:hAnsi="宋体" w:eastAsia="宋体" w:cs="宋体"/>
                <w:kern w:val="0"/>
                <w:sz w:val="24"/>
                <w:szCs w:val="24"/>
                <w:lang w:bidi="ar"/>
              </w:rPr>
            </w:pPr>
          </w:p>
        </w:tc>
      </w:tr>
      <w:tr w14:paraId="244E65A2">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0FD37C3F">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06AAF945">
            <w:pPr>
              <w:rPr>
                <w:rFonts w:hint="default" w:ascii="宋体" w:hAnsi="宋体" w:eastAsia="宋体" w:cs="宋体"/>
                <w:sz w:val="24"/>
                <w:szCs w:val="24"/>
              </w:rPr>
            </w:pPr>
          </w:p>
        </w:tc>
        <w:tc>
          <w:tcPr>
            <w:tcW w:w="1225" w:type="dxa"/>
            <w:vMerge w:val="continue"/>
            <w:tcBorders>
              <w:left w:val="single" w:color="auto" w:sz="4" w:space="0"/>
              <w:right w:val="single" w:color="auto" w:sz="4" w:space="0"/>
            </w:tcBorders>
            <w:shd w:val="clear" w:color="000000" w:fill="FFFFFF"/>
            <w:noWrap/>
            <w:vAlign w:val="center"/>
          </w:tcPr>
          <w:p w14:paraId="109CC858">
            <w:pPr>
              <w:widowControl/>
              <w:textAlignment w:val="cente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000000" w:fill="FFFFFF"/>
            <w:noWrap/>
            <w:vAlign w:val="center"/>
          </w:tcPr>
          <w:p w14:paraId="4FA12DAE">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支持第三方系统通过接口获取消息中心数据。</w:t>
            </w:r>
          </w:p>
        </w:tc>
        <w:tc>
          <w:tcPr>
            <w:tcW w:w="1086" w:type="dxa"/>
            <w:vMerge w:val="continue"/>
            <w:tcBorders>
              <w:left w:val="nil"/>
              <w:right w:val="single" w:color="auto" w:sz="4" w:space="0"/>
            </w:tcBorders>
            <w:shd w:val="clear" w:color="000000" w:fill="FFFFFF"/>
            <w:noWrap/>
            <w:vAlign w:val="center"/>
          </w:tcPr>
          <w:p w14:paraId="03512E0A">
            <w:pPr>
              <w:widowControl/>
              <w:jc w:val="center"/>
              <w:textAlignment w:val="center"/>
              <w:rPr>
                <w:rFonts w:hint="default" w:ascii="宋体" w:hAnsi="宋体" w:eastAsia="宋体" w:cs="宋体"/>
                <w:kern w:val="0"/>
                <w:sz w:val="24"/>
                <w:szCs w:val="24"/>
                <w:lang w:bidi="ar"/>
              </w:rPr>
            </w:pPr>
          </w:p>
        </w:tc>
      </w:tr>
      <w:tr w14:paraId="0669C84B">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044862A9">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0A1B6AC5">
            <w:pPr>
              <w:rPr>
                <w:rFonts w:hint="default" w:ascii="宋体" w:hAnsi="宋体" w:eastAsia="宋体" w:cs="宋体"/>
                <w:sz w:val="24"/>
                <w:szCs w:val="24"/>
              </w:rPr>
            </w:pPr>
          </w:p>
        </w:tc>
        <w:tc>
          <w:tcPr>
            <w:tcW w:w="1225" w:type="dxa"/>
            <w:vMerge w:val="continue"/>
            <w:tcBorders>
              <w:left w:val="single" w:color="auto" w:sz="4" w:space="0"/>
              <w:bottom w:val="single" w:color="auto" w:sz="4" w:space="0"/>
              <w:right w:val="single" w:color="auto" w:sz="4" w:space="0"/>
            </w:tcBorders>
            <w:shd w:val="clear" w:color="000000" w:fill="FFFFFF"/>
            <w:noWrap/>
            <w:vAlign w:val="center"/>
          </w:tcPr>
          <w:p w14:paraId="6424E0CB">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000000" w:fill="FFFFFF"/>
            <w:noWrap/>
            <w:vAlign w:val="center"/>
          </w:tcPr>
          <w:p w14:paraId="4629AE72">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支持获取用户消息统计接口；支持获取用户消息摘要接口。</w:t>
            </w:r>
          </w:p>
        </w:tc>
        <w:tc>
          <w:tcPr>
            <w:tcW w:w="1086" w:type="dxa"/>
            <w:vMerge w:val="continue"/>
            <w:tcBorders>
              <w:left w:val="nil"/>
              <w:right w:val="single" w:color="auto" w:sz="4" w:space="0"/>
            </w:tcBorders>
            <w:shd w:val="clear" w:color="000000" w:fill="FFFFFF"/>
            <w:noWrap/>
            <w:vAlign w:val="center"/>
          </w:tcPr>
          <w:p w14:paraId="0F1E5C8A">
            <w:pPr>
              <w:widowControl/>
              <w:jc w:val="center"/>
              <w:textAlignment w:val="center"/>
              <w:rPr>
                <w:rFonts w:hint="default" w:ascii="宋体" w:hAnsi="宋体" w:eastAsia="宋体" w:cs="宋体"/>
                <w:kern w:val="0"/>
                <w:sz w:val="24"/>
                <w:szCs w:val="24"/>
                <w:lang w:bidi="ar"/>
              </w:rPr>
            </w:pPr>
          </w:p>
        </w:tc>
      </w:tr>
      <w:tr w14:paraId="767B5B2A">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654F7DD3">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0446AB8">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000000" w:fill="FFFFFF"/>
            <w:noWrap/>
            <w:vAlign w:val="center"/>
          </w:tcPr>
          <w:p w14:paraId="3C5318D5">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用户权限查询</w:t>
            </w:r>
          </w:p>
        </w:tc>
        <w:tc>
          <w:tcPr>
            <w:tcW w:w="5954" w:type="dxa"/>
            <w:tcBorders>
              <w:top w:val="nil"/>
              <w:left w:val="nil"/>
              <w:bottom w:val="single" w:color="auto" w:sz="4" w:space="0"/>
              <w:right w:val="single" w:color="auto" w:sz="4" w:space="0"/>
            </w:tcBorders>
            <w:shd w:val="clear" w:color="000000" w:fill="FFFFFF"/>
            <w:noWrap/>
            <w:vAlign w:val="center"/>
          </w:tcPr>
          <w:p w14:paraId="3715213B">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支持根据用户信息查询用户权限。</w:t>
            </w:r>
          </w:p>
        </w:tc>
        <w:tc>
          <w:tcPr>
            <w:tcW w:w="1086" w:type="dxa"/>
            <w:vMerge w:val="continue"/>
            <w:tcBorders>
              <w:left w:val="nil"/>
              <w:right w:val="single" w:color="auto" w:sz="4" w:space="0"/>
            </w:tcBorders>
            <w:shd w:val="clear" w:color="000000" w:fill="FFFFFF"/>
            <w:noWrap/>
            <w:vAlign w:val="center"/>
          </w:tcPr>
          <w:p w14:paraId="1DB56386">
            <w:pPr>
              <w:widowControl/>
              <w:jc w:val="center"/>
              <w:textAlignment w:val="center"/>
              <w:rPr>
                <w:rFonts w:hint="default" w:ascii="宋体" w:hAnsi="宋体" w:eastAsia="宋体" w:cs="宋体"/>
                <w:kern w:val="0"/>
                <w:sz w:val="24"/>
                <w:szCs w:val="24"/>
                <w:lang w:bidi="ar"/>
              </w:rPr>
            </w:pPr>
          </w:p>
        </w:tc>
      </w:tr>
      <w:tr w14:paraId="1D4C0B54">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7FC0DD22">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61B47DC">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000000" w:fill="FFFFFF"/>
            <w:noWrap/>
            <w:vAlign w:val="center"/>
          </w:tcPr>
          <w:p w14:paraId="70CCA7B0">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短信统计</w:t>
            </w:r>
          </w:p>
        </w:tc>
        <w:tc>
          <w:tcPr>
            <w:tcW w:w="5954" w:type="dxa"/>
            <w:tcBorders>
              <w:top w:val="nil"/>
              <w:left w:val="nil"/>
              <w:bottom w:val="single" w:color="auto" w:sz="4" w:space="0"/>
              <w:right w:val="single" w:color="auto" w:sz="4" w:space="0"/>
            </w:tcBorders>
            <w:shd w:val="clear" w:color="000000" w:fill="FFFFFF"/>
            <w:noWrap/>
            <w:vAlign w:val="center"/>
          </w:tcPr>
          <w:p w14:paraId="0F2F2154">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支持管理员按照部门、系统、类型、时间段维度统计发送短信消息数以及短信消耗条数，支持导出Excel格式账单。</w:t>
            </w:r>
          </w:p>
        </w:tc>
        <w:tc>
          <w:tcPr>
            <w:tcW w:w="1086" w:type="dxa"/>
            <w:vMerge w:val="continue"/>
            <w:tcBorders>
              <w:left w:val="nil"/>
              <w:right w:val="single" w:color="auto" w:sz="4" w:space="0"/>
            </w:tcBorders>
            <w:shd w:val="clear" w:color="000000" w:fill="FFFFFF"/>
            <w:noWrap/>
            <w:vAlign w:val="center"/>
          </w:tcPr>
          <w:p w14:paraId="7E7C70C9">
            <w:pPr>
              <w:widowControl/>
              <w:jc w:val="center"/>
              <w:textAlignment w:val="center"/>
              <w:rPr>
                <w:rFonts w:hint="default" w:ascii="宋体" w:hAnsi="宋体" w:eastAsia="宋体" w:cs="宋体"/>
                <w:kern w:val="0"/>
                <w:sz w:val="24"/>
                <w:szCs w:val="24"/>
                <w:lang w:bidi="ar"/>
              </w:rPr>
            </w:pPr>
          </w:p>
        </w:tc>
      </w:tr>
      <w:tr w14:paraId="2E4EC700">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72985903">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5CCFA072">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000000" w:fill="FFFFFF"/>
            <w:noWrap/>
            <w:vAlign w:val="center"/>
          </w:tcPr>
          <w:p w14:paraId="19E98D8D">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水印配置功能</w:t>
            </w:r>
          </w:p>
        </w:tc>
        <w:tc>
          <w:tcPr>
            <w:tcW w:w="5954" w:type="dxa"/>
            <w:tcBorders>
              <w:top w:val="nil"/>
              <w:left w:val="nil"/>
              <w:bottom w:val="single" w:color="auto" w:sz="4" w:space="0"/>
              <w:right w:val="single" w:color="auto" w:sz="4" w:space="0"/>
            </w:tcBorders>
            <w:shd w:val="clear" w:color="000000" w:fill="FFFFFF"/>
            <w:noWrap/>
            <w:vAlign w:val="center"/>
          </w:tcPr>
          <w:p w14:paraId="2AC1C2FE">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支持在用户端页面进行水印的添加或关闭，水印内容为用户姓名+账号（内容可根据需求设置），截图传播可溯源，实现对消息页面的信息安全保护。</w:t>
            </w:r>
          </w:p>
        </w:tc>
        <w:tc>
          <w:tcPr>
            <w:tcW w:w="1086" w:type="dxa"/>
            <w:vMerge w:val="continue"/>
            <w:tcBorders>
              <w:left w:val="nil"/>
              <w:right w:val="single" w:color="auto" w:sz="4" w:space="0"/>
            </w:tcBorders>
            <w:shd w:val="clear" w:color="000000" w:fill="FFFFFF"/>
            <w:noWrap/>
            <w:vAlign w:val="center"/>
          </w:tcPr>
          <w:p w14:paraId="12B8056A">
            <w:pPr>
              <w:widowControl/>
              <w:jc w:val="center"/>
              <w:textAlignment w:val="center"/>
              <w:rPr>
                <w:rFonts w:hint="default" w:ascii="宋体" w:hAnsi="宋体" w:eastAsia="宋体" w:cs="宋体"/>
                <w:kern w:val="0"/>
                <w:sz w:val="24"/>
                <w:szCs w:val="24"/>
                <w:lang w:bidi="ar"/>
              </w:rPr>
            </w:pPr>
          </w:p>
        </w:tc>
      </w:tr>
      <w:tr w14:paraId="66E8E5B0">
        <w:tblPrEx>
          <w:tblCellMar>
            <w:top w:w="0" w:type="dxa"/>
            <w:left w:w="108" w:type="dxa"/>
            <w:bottom w:w="0" w:type="dxa"/>
            <w:right w:w="108" w:type="dxa"/>
          </w:tblCellMar>
        </w:tblPrEx>
        <w:trPr>
          <w:trHeight w:val="1370"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5A01AB5C">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7425CCE5">
            <w:pPr>
              <w:rPr>
                <w:rFonts w:hint="default" w:ascii="宋体" w:hAnsi="宋体" w:eastAsia="宋体" w:cs="宋体"/>
                <w:sz w:val="24"/>
                <w:szCs w:val="24"/>
              </w:rPr>
            </w:pPr>
          </w:p>
        </w:tc>
        <w:tc>
          <w:tcPr>
            <w:tcW w:w="1225" w:type="dxa"/>
            <w:vMerge w:val="restart"/>
            <w:tcBorders>
              <w:top w:val="nil"/>
              <w:left w:val="single" w:color="auto" w:sz="4" w:space="0"/>
              <w:right w:val="single" w:color="auto" w:sz="4" w:space="0"/>
            </w:tcBorders>
            <w:shd w:val="clear" w:color="auto" w:fill="auto"/>
            <w:noWrap/>
            <w:vAlign w:val="center"/>
          </w:tcPr>
          <w:p w14:paraId="3C3EB18D">
            <w:pPr>
              <w:widowControl/>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多维度日志报表</w:t>
            </w:r>
          </w:p>
          <w:p w14:paraId="770E534E">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　</w:t>
            </w:r>
          </w:p>
          <w:p w14:paraId="5AE5F735">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　</w:t>
            </w:r>
          </w:p>
        </w:tc>
        <w:tc>
          <w:tcPr>
            <w:tcW w:w="5954" w:type="dxa"/>
            <w:tcBorders>
              <w:top w:val="nil"/>
              <w:left w:val="nil"/>
              <w:bottom w:val="single" w:color="auto" w:sz="4" w:space="0"/>
              <w:right w:val="single" w:color="auto" w:sz="4" w:space="0"/>
            </w:tcBorders>
            <w:shd w:val="clear" w:color="auto" w:fill="auto"/>
            <w:noWrap/>
            <w:vAlign w:val="center"/>
          </w:tcPr>
          <w:p w14:paraId="430DEE3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增加第三方系统调用消息中心发送消息记录，记录字段包括：系统名称、APPID、最近一周调用次数、最后访问时间、最近一次调用耗时、详情等；点击详情可查看本系统所有消息调用日志，字段包括：事件编号、IP地址、调用接口、操作系统、耗时、调用时间、状态、详情等。</w:t>
            </w:r>
          </w:p>
        </w:tc>
        <w:tc>
          <w:tcPr>
            <w:tcW w:w="1086" w:type="dxa"/>
            <w:vMerge w:val="continue"/>
            <w:tcBorders>
              <w:left w:val="nil"/>
              <w:right w:val="single" w:color="auto" w:sz="4" w:space="0"/>
            </w:tcBorders>
            <w:shd w:val="clear" w:color="auto" w:fill="auto"/>
            <w:noWrap/>
            <w:vAlign w:val="center"/>
          </w:tcPr>
          <w:p w14:paraId="57152111">
            <w:pPr>
              <w:widowControl/>
              <w:jc w:val="center"/>
              <w:textAlignment w:val="center"/>
              <w:rPr>
                <w:rFonts w:hint="default" w:ascii="宋体" w:hAnsi="宋体" w:eastAsia="宋体" w:cs="宋体"/>
                <w:kern w:val="0"/>
                <w:sz w:val="24"/>
                <w:szCs w:val="24"/>
                <w:lang w:bidi="ar"/>
              </w:rPr>
            </w:pPr>
          </w:p>
        </w:tc>
      </w:tr>
      <w:tr w14:paraId="3B6E50E8">
        <w:tblPrEx>
          <w:tblCellMar>
            <w:top w:w="0" w:type="dxa"/>
            <w:left w:w="108" w:type="dxa"/>
            <w:bottom w:w="0" w:type="dxa"/>
            <w:right w:w="108" w:type="dxa"/>
          </w:tblCellMar>
        </w:tblPrEx>
        <w:trPr>
          <w:trHeight w:val="990"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5C539768">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6678A0AE">
            <w:pPr>
              <w:rPr>
                <w:rFonts w:hint="default" w:ascii="宋体" w:hAnsi="宋体" w:eastAsia="宋体" w:cs="宋体"/>
                <w:sz w:val="24"/>
                <w:szCs w:val="24"/>
              </w:rPr>
            </w:pPr>
          </w:p>
        </w:tc>
        <w:tc>
          <w:tcPr>
            <w:tcW w:w="1225" w:type="dxa"/>
            <w:vMerge w:val="continue"/>
            <w:tcBorders>
              <w:left w:val="single" w:color="auto" w:sz="4" w:space="0"/>
              <w:right w:val="single" w:color="auto" w:sz="4" w:space="0"/>
            </w:tcBorders>
            <w:shd w:val="clear" w:color="auto" w:fill="auto"/>
            <w:noWrap/>
            <w:vAlign w:val="center"/>
          </w:tcPr>
          <w:p w14:paraId="5DFA6F8F">
            <w:pPr>
              <w:widowControl/>
              <w:textAlignment w:val="cente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67CAA8B7">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敏感词拦截日志：增加对发送消息时触发敏感词信息进行记录管理，监控记录字段分为人工发送拦截、系统发送拦截。</w:t>
            </w:r>
          </w:p>
        </w:tc>
        <w:tc>
          <w:tcPr>
            <w:tcW w:w="1086" w:type="dxa"/>
            <w:vMerge w:val="continue"/>
            <w:tcBorders>
              <w:left w:val="nil"/>
              <w:right w:val="single" w:color="auto" w:sz="4" w:space="0"/>
            </w:tcBorders>
            <w:shd w:val="clear" w:color="auto" w:fill="auto"/>
            <w:noWrap/>
            <w:vAlign w:val="center"/>
          </w:tcPr>
          <w:p w14:paraId="04624352">
            <w:pPr>
              <w:widowControl/>
              <w:jc w:val="center"/>
              <w:textAlignment w:val="center"/>
              <w:rPr>
                <w:rFonts w:hint="default" w:ascii="宋体" w:hAnsi="宋体" w:eastAsia="宋体" w:cs="宋体"/>
                <w:kern w:val="0"/>
                <w:sz w:val="24"/>
                <w:szCs w:val="24"/>
                <w:lang w:bidi="ar"/>
              </w:rPr>
            </w:pPr>
          </w:p>
        </w:tc>
      </w:tr>
      <w:tr w14:paraId="5E2EA43A">
        <w:tblPrEx>
          <w:tblCellMar>
            <w:top w:w="0" w:type="dxa"/>
            <w:left w:w="108" w:type="dxa"/>
            <w:bottom w:w="0" w:type="dxa"/>
            <w:right w:w="108" w:type="dxa"/>
          </w:tblCellMar>
        </w:tblPrEx>
        <w:trPr>
          <w:trHeight w:val="1002"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5239AC05">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573F34F">
            <w:pPr>
              <w:rPr>
                <w:rFonts w:hint="default" w:ascii="宋体" w:hAnsi="宋体" w:eastAsia="宋体" w:cs="宋体"/>
                <w:sz w:val="24"/>
                <w:szCs w:val="24"/>
              </w:rPr>
            </w:pPr>
          </w:p>
        </w:tc>
        <w:tc>
          <w:tcPr>
            <w:tcW w:w="1225" w:type="dxa"/>
            <w:vMerge w:val="continue"/>
            <w:tcBorders>
              <w:left w:val="single" w:color="auto" w:sz="4" w:space="0"/>
              <w:bottom w:val="single" w:color="auto" w:sz="4" w:space="0"/>
              <w:right w:val="single" w:color="auto" w:sz="4" w:space="0"/>
            </w:tcBorders>
            <w:shd w:val="clear" w:color="auto" w:fill="auto"/>
            <w:noWrap/>
            <w:vAlign w:val="center"/>
          </w:tcPr>
          <w:p w14:paraId="1122904B">
            <w:pPr>
              <w:widowControl/>
              <w:textAlignment w:val="cente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79344955">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数据同步日志：增加数据同步事件及数据同步结果，可查看每次数据同步的实际状态，方便管理员对数据同步状况进行监控管理。</w:t>
            </w:r>
          </w:p>
        </w:tc>
        <w:tc>
          <w:tcPr>
            <w:tcW w:w="1086" w:type="dxa"/>
            <w:vMerge w:val="continue"/>
            <w:tcBorders>
              <w:left w:val="nil"/>
              <w:right w:val="single" w:color="auto" w:sz="4" w:space="0"/>
            </w:tcBorders>
            <w:shd w:val="clear" w:color="auto" w:fill="auto"/>
            <w:noWrap/>
            <w:vAlign w:val="center"/>
          </w:tcPr>
          <w:p w14:paraId="35DF5D39">
            <w:pPr>
              <w:widowControl/>
              <w:jc w:val="center"/>
              <w:textAlignment w:val="center"/>
              <w:rPr>
                <w:rFonts w:hint="default" w:ascii="宋体" w:hAnsi="宋体" w:eastAsia="宋体" w:cs="宋体"/>
                <w:kern w:val="0"/>
                <w:sz w:val="24"/>
                <w:szCs w:val="24"/>
                <w:lang w:bidi="ar"/>
              </w:rPr>
            </w:pPr>
          </w:p>
        </w:tc>
      </w:tr>
      <w:tr w14:paraId="20402121">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3E12F77E">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2D5D8EAE">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auto" w:fill="auto"/>
            <w:noWrap/>
            <w:vAlign w:val="center"/>
          </w:tcPr>
          <w:p w14:paraId="12AA4736">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发送人图标</w:t>
            </w:r>
          </w:p>
        </w:tc>
        <w:tc>
          <w:tcPr>
            <w:tcW w:w="5954" w:type="dxa"/>
            <w:tcBorders>
              <w:top w:val="nil"/>
              <w:left w:val="nil"/>
              <w:bottom w:val="single" w:color="auto" w:sz="4" w:space="0"/>
              <w:right w:val="single" w:color="auto" w:sz="4" w:space="0"/>
            </w:tcBorders>
            <w:shd w:val="clear" w:color="auto" w:fill="auto"/>
            <w:noWrap/>
            <w:vAlign w:val="center"/>
          </w:tcPr>
          <w:p w14:paraId="68341537">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支持移动端消息图标展示：发送部门图标、第三方系统图标按照对应发送人进行显示。</w:t>
            </w:r>
          </w:p>
        </w:tc>
        <w:tc>
          <w:tcPr>
            <w:tcW w:w="1086" w:type="dxa"/>
            <w:vMerge w:val="continue"/>
            <w:tcBorders>
              <w:left w:val="nil"/>
              <w:right w:val="single" w:color="auto" w:sz="4" w:space="0"/>
            </w:tcBorders>
            <w:shd w:val="clear" w:color="auto" w:fill="auto"/>
            <w:noWrap/>
            <w:vAlign w:val="center"/>
          </w:tcPr>
          <w:p w14:paraId="2E09E653">
            <w:pPr>
              <w:widowControl/>
              <w:jc w:val="center"/>
              <w:textAlignment w:val="center"/>
              <w:rPr>
                <w:rFonts w:hint="default" w:ascii="宋体" w:hAnsi="宋体" w:eastAsia="宋体" w:cs="宋体"/>
                <w:kern w:val="0"/>
                <w:sz w:val="24"/>
                <w:szCs w:val="24"/>
                <w:lang w:bidi="ar"/>
              </w:rPr>
            </w:pPr>
          </w:p>
        </w:tc>
      </w:tr>
      <w:tr w14:paraId="100382F6">
        <w:tblPrEx>
          <w:tblCellMar>
            <w:top w:w="0" w:type="dxa"/>
            <w:left w:w="108" w:type="dxa"/>
            <w:bottom w:w="0" w:type="dxa"/>
            <w:right w:w="108" w:type="dxa"/>
          </w:tblCellMar>
        </w:tblPrEx>
        <w:trPr>
          <w:trHeight w:val="908"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7CB6E9EA">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147AF242">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auto" w:fill="auto"/>
            <w:noWrap/>
            <w:vAlign w:val="center"/>
          </w:tcPr>
          <w:p w14:paraId="73118645">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第三方系统消息发送优先级配置</w:t>
            </w:r>
          </w:p>
        </w:tc>
        <w:tc>
          <w:tcPr>
            <w:tcW w:w="5954" w:type="dxa"/>
            <w:tcBorders>
              <w:top w:val="nil"/>
              <w:left w:val="nil"/>
              <w:bottom w:val="single" w:color="auto" w:sz="4" w:space="0"/>
              <w:right w:val="single" w:color="auto" w:sz="4" w:space="0"/>
            </w:tcBorders>
            <w:shd w:val="clear" w:color="auto" w:fill="auto"/>
            <w:noWrap/>
            <w:vAlign w:val="center"/>
          </w:tcPr>
          <w:p w14:paraId="01B9D6A9">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支持第三方应用消息优先配置项，允许选择最多三个第三方应用消息优先发送。</w:t>
            </w:r>
          </w:p>
        </w:tc>
        <w:tc>
          <w:tcPr>
            <w:tcW w:w="1086" w:type="dxa"/>
            <w:vMerge w:val="continue"/>
            <w:tcBorders>
              <w:left w:val="nil"/>
              <w:right w:val="single" w:color="auto" w:sz="4" w:space="0"/>
            </w:tcBorders>
            <w:shd w:val="clear" w:color="auto" w:fill="auto"/>
            <w:noWrap/>
            <w:vAlign w:val="center"/>
          </w:tcPr>
          <w:p w14:paraId="444176B7">
            <w:pPr>
              <w:widowControl/>
              <w:jc w:val="center"/>
              <w:textAlignment w:val="center"/>
              <w:rPr>
                <w:rFonts w:hint="default" w:ascii="宋体" w:hAnsi="宋体" w:eastAsia="宋体" w:cs="宋体"/>
                <w:kern w:val="0"/>
                <w:sz w:val="24"/>
                <w:szCs w:val="24"/>
                <w:lang w:bidi="ar"/>
              </w:rPr>
            </w:pPr>
          </w:p>
        </w:tc>
      </w:tr>
      <w:tr w14:paraId="0F7397C0">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37B0FB66">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5939086">
            <w:pPr>
              <w:rPr>
                <w:rFonts w:hint="default" w:ascii="宋体" w:hAnsi="宋体" w:eastAsia="宋体" w:cs="宋体"/>
                <w:sz w:val="24"/>
                <w:szCs w:val="24"/>
              </w:rPr>
            </w:pPr>
          </w:p>
        </w:tc>
        <w:tc>
          <w:tcPr>
            <w:tcW w:w="1225" w:type="dxa"/>
            <w:vMerge w:val="restart"/>
            <w:tcBorders>
              <w:top w:val="nil"/>
              <w:left w:val="single" w:color="auto" w:sz="4" w:space="0"/>
              <w:bottom w:val="single" w:color="auto" w:sz="4" w:space="0"/>
              <w:right w:val="single" w:color="auto" w:sz="4" w:space="0"/>
            </w:tcBorders>
            <w:shd w:val="clear" w:color="auto" w:fill="auto"/>
            <w:noWrap/>
            <w:vAlign w:val="center"/>
          </w:tcPr>
          <w:p w14:paraId="1A354310">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短链接定制</w:t>
            </w:r>
          </w:p>
        </w:tc>
        <w:tc>
          <w:tcPr>
            <w:tcW w:w="5954" w:type="dxa"/>
            <w:tcBorders>
              <w:top w:val="nil"/>
              <w:left w:val="nil"/>
              <w:bottom w:val="single" w:color="auto" w:sz="4" w:space="0"/>
              <w:right w:val="single" w:color="auto" w:sz="4" w:space="0"/>
            </w:tcBorders>
            <w:shd w:val="clear" w:color="auto" w:fill="auto"/>
            <w:noWrap/>
            <w:vAlign w:val="center"/>
          </w:tcPr>
          <w:p w14:paraId="6801E835">
            <w:pPr>
              <w:widowControl/>
              <w:numPr>
                <w:ilvl w:val="0"/>
                <w:numId w:val="5"/>
              </w:numPr>
              <w:textAlignment w:val="center"/>
              <w:rPr>
                <w:rFonts w:hint="default" w:ascii="宋体" w:hAnsi="宋体" w:eastAsia="宋体" w:cs="宋体"/>
                <w:sz w:val="24"/>
                <w:szCs w:val="24"/>
              </w:rPr>
            </w:pPr>
            <w:r>
              <w:rPr>
                <w:rFonts w:ascii="宋体" w:hAnsi="宋体" w:eastAsia="宋体" w:cs="宋体"/>
                <w:kern w:val="0"/>
                <w:sz w:val="24"/>
                <w:szCs w:val="24"/>
                <w:lang w:bidi="ar"/>
              </w:rPr>
              <w:t>提供人工操作长链接转短链接功能，管理端用户可以使用该功能将长链接转换成短链接；</w:t>
            </w:r>
          </w:p>
        </w:tc>
        <w:tc>
          <w:tcPr>
            <w:tcW w:w="1086" w:type="dxa"/>
            <w:vMerge w:val="continue"/>
            <w:tcBorders>
              <w:left w:val="nil"/>
              <w:right w:val="single" w:color="auto" w:sz="4" w:space="0"/>
            </w:tcBorders>
            <w:shd w:val="clear" w:color="auto" w:fill="auto"/>
            <w:noWrap/>
            <w:vAlign w:val="center"/>
          </w:tcPr>
          <w:p w14:paraId="243BB2A4">
            <w:pPr>
              <w:widowControl/>
              <w:jc w:val="center"/>
              <w:textAlignment w:val="center"/>
              <w:rPr>
                <w:rFonts w:hint="default" w:ascii="宋体" w:hAnsi="宋体" w:eastAsia="宋体" w:cs="宋体"/>
                <w:kern w:val="0"/>
                <w:sz w:val="24"/>
                <w:szCs w:val="24"/>
                <w:lang w:bidi="ar"/>
              </w:rPr>
            </w:pPr>
          </w:p>
        </w:tc>
      </w:tr>
      <w:tr w14:paraId="1F5A1DAE">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65C69177">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78D3DE33">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7E704E28">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5B133F0B">
            <w:pPr>
              <w:widowControl/>
              <w:numPr>
                <w:ilvl w:val="0"/>
                <w:numId w:val="5"/>
              </w:numPr>
              <w:textAlignment w:val="center"/>
              <w:rPr>
                <w:rFonts w:hint="default" w:ascii="宋体" w:hAnsi="宋体" w:eastAsia="宋体" w:cs="宋体"/>
                <w:sz w:val="24"/>
                <w:szCs w:val="24"/>
              </w:rPr>
            </w:pPr>
            <w:r>
              <w:rPr>
                <w:rFonts w:ascii="宋体" w:hAnsi="宋体" w:eastAsia="宋体" w:cs="宋体"/>
                <w:kern w:val="0"/>
                <w:sz w:val="24"/>
                <w:szCs w:val="24"/>
                <w:lang w:bidi="ar"/>
              </w:rPr>
              <w:t>提供短信内容转换功能，针对API传入的短信内容，根据标准规则自动识别链接并将其转换成短链接，得到最终转换链接后的短信内容。</w:t>
            </w:r>
          </w:p>
        </w:tc>
        <w:tc>
          <w:tcPr>
            <w:tcW w:w="1086" w:type="dxa"/>
            <w:vMerge w:val="continue"/>
            <w:tcBorders>
              <w:left w:val="nil"/>
              <w:right w:val="single" w:color="auto" w:sz="4" w:space="0"/>
            </w:tcBorders>
            <w:shd w:val="clear" w:color="auto" w:fill="auto"/>
            <w:noWrap/>
            <w:vAlign w:val="center"/>
          </w:tcPr>
          <w:p w14:paraId="1554B62A">
            <w:pPr>
              <w:widowControl/>
              <w:jc w:val="center"/>
              <w:textAlignment w:val="center"/>
              <w:rPr>
                <w:rFonts w:hint="default" w:ascii="宋体" w:hAnsi="宋体" w:eastAsia="宋体" w:cs="宋体"/>
                <w:kern w:val="0"/>
                <w:sz w:val="24"/>
                <w:szCs w:val="24"/>
                <w:lang w:bidi="ar"/>
              </w:rPr>
            </w:pPr>
          </w:p>
        </w:tc>
      </w:tr>
      <w:tr w14:paraId="55956D86">
        <w:tblPrEx>
          <w:tblCellMar>
            <w:top w:w="0" w:type="dxa"/>
            <w:left w:w="108" w:type="dxa"/>
            <w:bottom w:w="0" w:type="dxa"/>
            <w:right w:w="108" w:type="dxa"/>
          </w:tblCellMar>
        </w:tblPrEx>
        <w:trPr>
          <w:trHeight w:val="1946"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45E45D17">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08169AFB">
            <w:pPr>
              <w:rPr>
                <w:rFonts w:hint="default" w:ascii="宋体" w:hAnsi="宋体" w:eastAsia="宋体" w:cs="宋体"/>
                <w:sz w:val="24"/>
                <w:szCs w:val="24"/>
              </w:rPr>
            </w:pPr>
          </w:p>
        </w:tc>
        <w:tc>
          <w:tcPr>
            <w:tcW w:w="1225" w:type="dxa"/>
            <w:tcBorders>
              <w:top w:val="nil"/>
              <w:left w:val="single" w:color="auto" w:sz="4" w:space="0"/>
              <w:bottom w:val="single" w:color="auto" w:sz="4" w:space="0"/>
              <w:right w:val="single" w:color="auto" w:sz="4" w:space="0"/>
            </w:tcBorders>
            <w:shd w:val="clear" w:color="auto" w:fill="auto"/>
            <w:noWrap/>
            <w:vAlign w:val="center"/>
          </w:tcPr>
          <w:p w14:paraId="39F2EF9B">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发送策略</w:t>
            </w:r>
          </w:p>
        </w:tc>
        <w:tc>
          <w:tcPr>
            <w:tcW w:w="5954" w:type="dxa"/>
            <w:tcBorders>
              <w:top w:val="nil"/>
              <w:left w:val="nil"/>
              <w:bottom w:val="single" w:color="auto" w:sz="4" w:space="0"/>
              <w:right w:val="single" w:color="auto" w:sz="4" w:space="0"/>
            </w:tcBorders>
            <w:shd w:val="clear" w:color="auto" w:fill="auto"/>
            <w:noWrap/>
            <w:vAlign w:val="center"/>
          </w:tcPr>
          <w:p w14:paraId="418DE52C">
            <w:pPr>
              <w:widowControl/>
              <w:numPr>
                <w:ilvl w:val="0"/>
                <w:numId w:val="6"/>
              </w:numP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支持持久化、智能消息队列匹配机制,实现针对不同人数级消息分配独立消息渠道、独立队列通道发送；</w:t>
            </w:r>
          </w:p>
          <w:p w14:paraId="14A25CB3">
            <w:pPr>
              <w:widowControl/>
              <w:numPr>
                <w:ilvl w:val="0"/>
                <w:numId w:val="6"/>
              </w:numPr>
              <w:textAlignment w:val="center"/>
              <w:rPr>
                <w:rFonts w:hint="default" w:ascii="宋体" w:hAnsi="宋体" w:eastAsia="宋体" w:cs="宋体"/>
                <w:sz w:val="24"/>
                <w:szCs w:val="24"/>
              </w:rPr>
            </w:pPr>
            <w:r>
              <w:rPr>
                <w:rFonts w:ascii="宋体" w:hAnsi="宋体" w:eastAsia="宋体" w:cs="宋体"/>
                <w:kern w:val="0"/>
                <w:sz w:val="24"/>
                <w:szCs w:val="24"/>
                <w:lang w:bidi="ar"/>
              </w:rPr>
              <w:t>通道按照消息渠道(企业微信、短信、邮箱)的接人数量级不同，进行智能通道选择；</w:t>
            </w:r>
          </w:p>
          <w:p w14:paraId="7BA4A20C">
            <w:pPr>
              <w:widowControl/>
              <w:numPr>
                <w:ilvl w:val="0"/>
                <w:numId w:val="6"/>
              </w:numPr>
              <w:textAlignment w:val="center"/>
              <w:rPr>
                <w:rFonts w:hint="default" w:ascii="宋体" w:hAnsi="宋体" w:eastAsia="宋体" w:cs="宋体"/>
                <w:sz w:val="24"/>
                <w:szCs w:val="24"/>
              </w:rPr>
            </w:pPr>
            <w:r>
              <w:rPr>
                <w:rFonts w:ascii="宋体" w:hAnsi="宋体" w:eastAsia="宋体" w:cs="宋体"/>
                <w:kern w:val="0"/>
                <w:sz w:val="24"/>
                <w:szCs w:val="24"/>
                <w:lang w:bidi="ar"/>
              </w:rPr>
              <w:t>优先插队发送，对于设置了优先发送渠道的第三方应用可使用优先插队发送策略。</w:t>
            </w:r>
          </w:p>
        </w:tc>
        <w:tc>
          <w:tcPr>
            <w:tcW w:w="1086" w:type="dxa"/>
            <w:vMerge w:val="continue"/>
            <w:tcBorders>
              <w:left w:val="nil"/>
              <w:right w:val="single" w:color="auto" w:sz="4" w:space="0"/>
            </w:tcBorders>
            <w:shd w:val="clear" w:color="auto" w:fill="auto"/>
            <w:noWrap/>
            <w:vAlign w:val="center"/>
          </w:tcPr>
          <w:p w14:paraId="0F421D4F">
            <w:pPr>
              <w:widowControl/>
              <w:jc w:val="center"/>
              <w:textAlignment w:val="center"/>
              <w:rPr>
                <w:rFonts w:hint="default" w:ascii="宋体" w:hAnsi="宋体" w:eastAsia="宋体" w:cs="宋体"/>
                <w:kern w:val="0"/>
                <w:sz w:val="24"/>
                <w:szCs w:val="24"/>
                <w:lang w:bidi="ar"/>
              </w:rPr>
            </w:pPr>
          </w:p>
        </w:tc>
      </w:tr>
      <w:tr w14:paraId="3933E9B6">
        <w:tblPrEx>
          <w:tblCellMar>
            <w:top w:w="0" w:type="dxa"/>
            <w:left w:w="108" w:type="dxa"/>
            <w:bottom w:w="0" w:type="dxa"/>
            <w:right w:w="108" w:type="dxa"/>
          </w:tblCellMar>
        </w:tblPrEx>
        <w:trPr>
          <w:trHeight w:val="756"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5ACC19A5">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7B8B35A8">
            <w:pPr>
              <w:rPr>
                <w:rFonts w:hint="default" w:ascii="宋体" w:hAnsi="宋体" w:eastAsia="宋体" w:cs="宋体"/>
                <w:sz w:val="24"/>
                <w:szCs w:val="24"/>
              </w:rPr>
            </w:pP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6267A0">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数据存储</w:t>
            </w:r>
          </w:p>
        </w:tc>
        <w:tc>
          <w:tcPr>
            <w:tcW w:w="5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76F61">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支持海量数据存储。对于历史消息进行切片分割保存，保证消息数据存储至少3年。</w:t>
            </w:r>
          </w:p>
        </w:tc>
        <w:tc>
          <w:tcPr>
            <w:tcW w:w="1086" w:type="dxa"/>
            <w:vMerge w:val="continue"/>
            <w:tcBorders>
              <w:left w:val="nil"/>
              <w:right w:val="single" w:color="auto" w:sz="4" w:space="0"/>
            </w:tcBorders>
            <w:shd w:val="clear" w:color="auto" w:fill="auto"/>
            <w:noWrap/>
            <w:vAlign w:val="center"/>
          </w:tcPr>
          <w:p w14:paraId="0CE809FC">
            <w:pPr>
              <w:widowControl/>
              <w:jc w:val="center"/>
              <w:textAlignment w:val="center"/>
              <w:rPr>
                <w:rFonts w:hint="default" w:ascii="宋体" w:hAnsi="宋体" w:eastAsia="宋体" w:cs="宋体"/>
                <w:kern w:val="0"/>
                <w:sz w:val="24"/>
                <w:szCs w:val="24"/>
                <w:lang w:bidi="ar"/>
              </w:rPr>
            </w:pPr>
          </w:p>
        </w:tc>
      </w:tr>
      <w:tr w14:paraId="12D255F2">
        <w:tblPrEx>
          <w:tblCellMar>
            <w:top w:w="0" w:type="dxa"/>
            <w:left w:w="108" w:type="dxa"/>
            <w:bottom w:w="0" w:type="dxa"/>
            <w:right w:w="108" w:type="dxa"/>
          </w:tblCellMar>
        </w:tblPrEx>
        <w:trPr>
          <w:trHeight w:val="285" w:hRule="atLeast"/>
          <w:jc w:val="center"/>
        </w:trPr>
        <w:tc>
          <w:tcPr>
            <w:tcW w:w="546" w:type="dxa"/>
            <w:vMerge w:val="restart"/>
            <w:tcBorders>
              <w:top w:val="nil"/>
              <w:left w:val="single" w:color="auto" w:sz="4" w:space="0"/>
              <w:bottom w:val="single" w:color="auto" w:sz="4" w:space="0"/>
              <w:right w:val="single" w:color="auto" w:sz="4" w:space="0"/>
            </w:tcBorders>
            <w:shd w:val="clear" w:color="auto" w:fill="auto"/>
            <w:noWrap/>
            <w:vAlign w:val="center"/>
          </w:tcPr>
          <w:p w14:paraId="3743113A">
            <w:pPr>
              <w:widowControl/>
              <w:jc w:val="center"/>
              <w:textAlignment w:val="center"/>
              <w:rPr>
                <w:rFonts w:hint="default" w:ascii="宋体" w:hAnsi="宋体" w:eastAsia="宋体" w:cs="宋体"/>
                <w:sz w:val="24"/>
                <w:szCs w:val="24"/>
              </w:rPr>
            </w:pPr>
            <w:r>
              <w:rPr>
                <w:rFonts w:ascii="宋体" w:hAnsi="宋体" w:eastAsia="宋体" w:cs="宋体"/>
                <w:kern w:val="0"/>
                <w:sz w:val="24"/>
                <w:szCs w:val="24"/>
                <w:lang w:bidi="ar"/>
              </w:rPr>
              <w:t>2</w:t>
            </w:r>
          </w:p>
        </w:tc>
        <w:tc>
          <w:tcPr>
            <w:tcW w:w="775" w:type="dxa"/>
            <w:vMerge w:val="restart"/>
            <w:tcBorders>
              <w:top w:val="nil"/>
              <w:left w:val="single" w:color="auto" w:sz="4" w:space="0"/>
              <w:bottom w:val="single" w:color="auto" w:sz="4" w:space="0"/>
              <w:right w:val="single" w:color="auto" w:sz="4" w:space="0"/>
            </w:tcBorders>
            <w:shd w:val="clear" w:color="auto" w:fill="auto"/>
            <w:noWrap/>
            <w:vAlign w:val="center"/>
          </w:tcPr>
          <w:p w14:paraId="51F6E0E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企业微信管理平台</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D6091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企业微信通讯录管理</w:t>
            </w:r>
          </w:p>
        </w:tc>
        <w:tc>
          <w:tcPr>
            <w:tcW w:w="59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CF5E6">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提供企业微信通讯录清洗服务。</w:t>
            </w:r>
          </w:p>
        </w:tc>
        <w:tc>
          <w:tcPr>
            <w:tcW w:w="1086" w:type="dxa"/>
            <w:vMerge w:val="restart"/>
            <w:tcBorders>
              <w:top w:val="nil"/>
              <w:left w:val="nil"/>
              <w:right w:val="single" w:color="auto" w:sz="4" w:space="0"/>
            </w:tcBorders>
            <w:shd w:val="clear" w:color="auto" w:fill="auto"/>
            <w:noWrap/>
            <w:vAlign w:val="center"/>
          </w:tcPr>
          <w:p w14:paraId="16F56E23">
            <w:pPr>
              <w:widowControl/>
              <w:jc w:val="cente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7.5</w:t>
            </w:r>
          </w:p>
        </w:tc>
      </w:tr>
      <w:tr w14:paraId="7D108DB9">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781A27A0">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2A939B0B">
            <w:pPr>
              <w:rPr>
                <w:rFonts w:hint="default" w:ascii="宋体" w:hAnsi="宋体" w:eastAsia="宋体" w:cs="宋体"/>
                <w:sz w:val="24"/>
                <w:szCs w:val="24"/>
              </w:rPr>
            </w:pPr>
          </w:p>
        </w:tc>
        <w:tc>
          <w:tcPr>
            <w:tcW w:w="12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546EAC">
            <w:pPr>
              <w:rPr>
                <w:rFonts w:hint="default" w:ascii="宋体" w:hAnsi="宋体" w:eastAsia="宋体" w:cs="宋体"/>
                <w:sz w:val="24"/>
                <w:szCs w:val="24"/>
              </w:rPr>
            </w:pPr>
          </w:p>
        </w:tc>
        <w:tc>
          <w:tcPr>
            <w:tcW w:w="5954" w:type="dxa"/>
            <w:tcBorders>
              <w:top w:val="single" w:color="auto" w:sz="4" w:space="0"/>
              <w:left w:val="nil"/>
              <w:bottom w:val="single" w:color="auto" w:sz="4" w:space="0"/>
              <w:right w:val="single" w:color="auto" w:sz="4" w:space="0"/>
            </w:tcBorders>
            <w:shd w:val="clear" w:color="auto" w:fill="auto"/>
            <w:noWrap/>
            <w:vAlign w:val="center"/>
          </w:tcPr>
          <w:p w14:paraId="3634F33A">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按照学校的组织架构层级要求，来完成现有企业微信平台人员组织架构信息的清理，清洗后，企业微信通讯录变成和管理中台内的人员组织架构信息一致，定期读取主动退出企业微信成员，自动清理并自动重新添加人员到企业微信中，实现用户可重新绑定。</w:t>
            </w:r>
          </w:p>
        </w:tc>
        <w:tc>
          <w:tcPr>
            <w:tcW w:w="1086" w:type="dxa"/>
            <w:vMerge w:val="continue"/>
            <w:tcBorders>
              <w:left w:val="nil"/>
              <w:right w:val="single" w:color="auto" w:sz="4" w:space="0"/>
            </w:tcBorders>
            <w:shd w:val="clear" w:color="auto" w:fill="auto"/>
            <w:noWrap/>
            <w:vAlign w:val="center"/>
          </w:tcPr>
          <w:p w14:paraId="3223A828">
            <w:pPr>
              <w:widowControl/>
              <w:jc w:val="center"/>
              <w:textAlignment w:val="center"/>
              <w:rPr>
                <w:rFonts w:hint="default" w:ascii="宋体" w:hAnsi="宋体" w:eastAsia="宋体" w:cs="宋体"/>
                <w:kern w:val="0"/>
                <w:sz w:val="24"/>
                <w:szCs w:val="24"/>
                <w:lang w:bidi="ar"/>
              </w:rPr>
            </w:pPr>
          </w:p>
        </w:tc>
      </w:tr>
      <w:tr w14:paraId="542B9466">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067CAA41">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5860899C">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1274481D">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5C553C37">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企业微信通讯录数据更新。</w:t>
            </w:r>
          </w:p>
        </w:tc>
        <w:tc>
          <w:tcPr>
            <w:tcW w:w="1086" w:type="dxa"/>
            <w:vMerge w:val="continue"/>
            <w:tcBorders>
              <w:left w:val="nil"/>
              <w:right w:val="single" w:color="auto" w:sz="4" w:space="0"/>
            </w:tcBorders>
            <w:shd w:val="clear" w:color="auto" w:fill="auto"/>
            <w:noWrap/>
            <w:vAlign w:val="center"/>
          </w:tcPr>
          <w:p w14:paraId="2940F06E">
            <w:pPr>
              <w:widowControl/>
              <w:jc w:val="center"/>
              <w:textAlignment w:val="center"/>
              <w:rPr>
                <w:rFonts w:hint="default" w:ascii="宋体" w:hAnsi="宋体" w:eastAsia="宋体" w:cs="宋体"/>
                <w:kern w:val="0"/>
                <w:sz w:val="24"/>
                <w:szCs w:val="24"/>
                <w:lang w:bidi="ar"/>
              </w:rPr>
            </w:pPr>
          </w:p>
        </w:tc>
      </w:tr>
      <w:tr w14:paraId="0DA7A8E1">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3B235854">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4653C544">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25C41AF4">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03F3BC2A">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每日定期同步企业微信通讯录，支持手工同步，数据中心到管理中台数据同步执行，完成在校师生有效数据同步，建立准确的组织架构。</w:t>
            </w:r>
          </w:p>
        </w:tc>
        <w:tc>
          <w:tcPr>
            <w:tcW w:w="1086" w:type="dxa"/>
            <w:vMerge w:val="continue"/>
            <w:tcBorders>
              <w:left w:val="nil"/>
              <w:right w:val="single" w:color="auto" w:sz="4" w:space="0"/>
            </w:tcBorders>
            <w:shd w:val="clear" w:color="auto" w:fill="auto"/>
            <w:noWrap/>
            <w:vAlign w:val="center"/>
          </w:tcPr>
          <w:p w14:paraId="04069FAB">
            <w:pPr>
              <w:widowControl/>
              <w:jc w:val="center"/>
              <w:textAlignment w:val="center"/>
              <w:rPr>
                <w:rFonts w:hint="default" w:ascii="宋体" w:hAnsi="宋体" w:eastAsia="宋体" w:cs="宋体"/>
                <w:kern w:val="0"/>
                <w:sz w:val="24"/>
                <w:szCs w:val="24"/>
                <w:lang w:bidi="ar"/>
              </w:rPr>
            </w:pPr>
          </w:p>
        </w:tc>
      </w:tr>
      <w:tr w14:paraId="6DEB0328">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464E8815">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6A68F28">
            <w:pPr>
              <w:rPr>
                <w:rFonts w:hint="default" w:ascii="宋体" w:hAnsi="宋体" w:eastAsia="宋体" w:cs="宋体"/>
                <w:sz w:val="24"/>
                <w:szCs w:val="24"/>
              </w:rPr>
            </w:pPr>
          </w:p>
        </w:tc>
        <w:tc>
          <w:tcPr>
            <w:tcW w:w="1225" w:type="dxa"/>
            <w:vMerge w:val="restart"/>
            <w:tcBorders>
              <w:top w:val="nil"/>
              <w:left w:val="single" w:color="auto" w:sz="4" w:space="0"/>
              <w:bottom w:val="single" w:color="auto" w:sz="4" w:space="0"/>
              <w:right w:val="single" w:color="auto" w:sz="4" w:space="0"/>
            </w:tcBorders>
            <w:shd w:val="clear" w:color="auto" w:fill="auto"/>
            <w:noWrap/>
            <w:vAlign w:val="center"/>
          </w:tcPr>
          <w:p w14:paraId="1CE97FC3">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企业微信绑定管理</w:t>
            </w:r>
          </w:p>
        </w:tc>
        <w:tc>
          <w:tcPr>
            <w:tcW w:w="5954" w:type="dxa"/>
            <w:tcBorders>
              <w:top w:val="nil"/>
              <w:left w:val="nil"/>
              <w:bottom w:val="single" w:color="auto" w:sz="4" w:space="0"/>
              <w:right w:val="single" w:color="auto" w:sz="4" w:space="0"/>
            </w:tcBorders>
            <w:shd w:val="clear" w:color="auto" w:fill="auto"/>
            <w:noWrap/>
            <w:vAlign w:val="center"/>
          </w:tcPr>
          <w:p w14:paraId="42018153">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通过统一身份认证验证师生身份后，通过自助填写手机号模式，绑定企业微信和关注微信插件。</w:t>
            </w:r>
          </w:p>
        </w:tc>
        <w:tc>
          <w:tcPr>
            <w:tcW w:w="1086" w:type="dxa"/>
            <w:vMerge w:val="continue"/>
            <w:tcBorders>
              <w:left w:val="nil"/>
              <w:right w:val="single" w:color="auto" w:sz="4" w:space="0"/>
            </w:tcBorders>
            <w:shd w:val="clear" w:color="auto" w:fill="auto"/>
            <w:noWrap/>
            <w:vAlign w:val="center"/>
          </w:tcPr>
          <w:p w14:paraId="39E09825">
            <w:pPr>
              <w:widowControl/>
              <w:jc w:val="center"/>
              <w:textAlignment w:val="center"/>
              <w:rPr>
                <w:rFonts w:hint="default" w:ascii="宋体" w:hAnsi="宋体" w:eastAsia="宋体" w:cs="宋体"/>
                <w:kern w:val="0"/>
                <w:sz w:val="24"/>
                <w:szCs w:val="24"/>
                <w:lang w:bidi="ar"/>
              </w:rPr>
            </w:pPr>
          </w:p>
        </w:tc>
      </w:tr>
      <w:tr w14:paraId="60A11480">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7EAAAF20">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5C9E78A7">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43960192">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7C281054">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绑定企业微信、修改手机号、更换学/工号/解绑企业微信几个闭环的自助模块，可以快速引导不同需求的师生完成企业微信绑定操作。</w:t>
            </w:r>
          </w:p>
        </w:tc>
        <w:tc>
          <w:tcPr>
            <w:tcW w:w="1086" w:type="dxa"/>
            <w:vMerge w:val="continue"/>
            <w:tcBorders>
              <w:left w:val="nil"/>
              <w:right w:val="single" w:color="auto" w:sz="4" w:space="0"/>
            </w:tcBorders>
            <w:shd w:val="clear" w:color="auto" w:fill="auto"/>
            <w:noWrap/>
            <w:vAlign w:val="center"/>
          </w:tcPr>
          <w:p w14:paraId="27F1E169">
            <w:pPr>
              <w:widowControl/>
              <w:jc w:val="center"/>
              <w:textAlignment w:val="center"/>
              <w:rPr>
                <w:rFonts w:hint="default" w:ascii="宋体" w:hAnsi="宋体" w:eastAsia="宋体" w:cs="宋体"/>
                <w:kern w:val="0"/>
                <w:sz w:val="24"/>
                <w:szCs w:val="24"/>
                <w:lang w:bidi="ar"/>
              </w:rPr>
            </w:pPr>
          </w:p>
        </w:tc>
      </w:tr>
      <w:tr w14:paraId="3995B5D7">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044CDBAD">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0579054E">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2DEB47F7">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2DEF88E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系统可以配置工单处理管理员。用户在企业微信操作过程中出现问题时，在上报平台中反馈自己碰到的问题并留下个人邮箱，即可发送邮件给工单处理管理员。工单处理管理员收到提醒后，即可在平台的上报列表里查看工单，并处理故障。处理完毕后，可以将处理结果自动发送邮件到用户所留的邮箱。</w:t>
            </w:r>
          </w:p>
        </w:tc>
        <w:tc>
          <w:tcPr>
            <w:tcW w:w="1086" w:type="dxa"/>
            <w:vMerge w:val="continue"/>
            <w:tcBorders>
              <w:left w:val="nil"/>
              <w:right w:val="single" w:color="auto" w:sz="4" w:space="0"/>
            </w:tcBorders>
            <w:shd w:val="clear" w:color="auto" w:fill="auto"/>
            <w:noWrap/>
            <w:vAlign w:val="center"/>
          </w:tcPr>
          <w:p w14:paraId="29AA1EE1">
            <w:pPr>
              <w:widowControl/>
              <w:jc w:val="center"/>
              <w:textAlignment w:val="center"/>
              <w:rPr>
                <w:rFonts w:hint="default" w:ascii="宋体" w:hAnsi="宋体" w:eastAsia="宋体" w:cs="宋体"/>
                <w:kern w:val="0"/>
                <w:sz w:val="24"/>
                <w:szCs w:val="24"/>
                <w:lang w:bidi="ar"/>
              </w:rPr>
            </w:pPr>
          </w:p>
        </w:tc>
      </w:tr>
      <w:tr w14:paraId="28DAB106">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35FAC1B1">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7F48C15C">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5B6B91FB">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4A896CED">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完善自助QA帮助,在注册绑定过程中，提示用户在自主服务时失败的原因和解决方案。</w:t>
            </w:r>
          </w:p>
        </w:tc>
        <w:tc>
          <w:tcPr>
            <w:tcW w:w="1086" w:type="dxa"/>
            <w:vMerge w:val="continue"/>
            <w:tcBorders>
              <w:left w:val="nil"/>
              <w:right w:val="single" w:color="auto" w:sz="4" w:space="0"/>
            </w:tcBorders>
            <w:shd w:val="clear" w:color="auto" w:fill="auto"/>
            <w:noWrap/>
            <w:vAlign w:val="center"/>
          </w:tcPr>
          <w:p w14:paraId="79620A86">
            <w:pPr>
              <w:widowControl/>
              <w:jc w:val="center"/>
              <w:textAlignment w:val="center"/>
              <w:rPr>
                <w:rFonts w:hint="default" w:ascii="宋体" w:hAnsi="宋体" w:eastAsia="宋体" w:cs="宋体"/>
                <w:kern w:val="0"/>
                <w:sz w:val="24"/>
                <w:szCs w:val="24"/>
                <w:lang w:bidi="ar"/>
              </w:rPr>
            </w:pPr>
          </w:p>
        </w:tc>
      </w:tr>
      <w:tr w14:paraId="07010E53">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6131033C">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60466CAA">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01EC4712">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1CE0A53A">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根据微信插件失效规则，增加支持微信插件上传入口，上传后更新关注页面里面的微信插件。</w:t>
            </w:r>
          </w:p>
        </w:tc>
        <w:tc>
          <w:tcPr>
            <w:tcW w:w="1086" w:type="dxa"/>
            <w:vMerge w:val="continue"/>
            <w:tcBorders>
              <w:left w:val="nil"/>
              <w:right w:val="single" w:color="auto" w:sz="4" w:space="0"/>
            </w:tcBorders>
            <w:shd w:val="clear" w:color="auto" w:fill="auto"/>
            <w:noWrap/>
            <w:vAlign w:val="center"/>
          </w:tcPr>
          <w:p w14:paraId="158AA585">
            <w:pPr>
              <w:widowControl/>
              <w:jc w:val="center"/>
              <w:textAlignment w:val="center"/>
              <w:rPr>
                <w:rFonts w:hint="default" w:ascii="宋体" w:hAnsi="宋体" w:eastAsia="宋体" w:cs="宋体"/>
                <w:kern w:val="0"/>
                <w:sz w:val="24"/>
                <w:szCs w:val="24"/>
                <w:lang w:bidi="ar"/>
              </w:rPr>
            </w:pPr>
          </w:p>
        </w:tc>
      </w:tr>
      <w:tr w14:paraId="5A362B0A">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2244BA7D">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635114CC">
            <w:pPr>
              <w:rPr>
                <w:rFonts w:hint="default" w:ascii="宋体" w:hAnsi="宋体" w:eastAsia="宋体" w:cs="宋体"/>
                <w:sz w:val="24"/>
                <w:szCs w:val="24"/>
              </w:rPr>
            </w:pPr>
          </w:p>
        </w:tc>
        <w:tc>
          <w:tcPr>
            <w:tcW w:w="1225" w:type="dxa"/>
            <w:vMerge w:val="restart"/>
            <w:tcBorders>
              <w:top w:val="nil"/>
              <w:left w:val="single" w:color="auto" w:sz="4" w:space="0"/>
              <w:bottom w:val="single" w:color="auto" w:sz="4" w:space="0"/>
              <w:right w:val="single" w:color="auto" w:sz="4" w:space="0"/>
            </w:tcBorders>
            <w:shd w:val="clear" w:color="auto" w:fill="auto"/>
            <w:noWrap/>
            <w:vAlign w:val="center"/>
          </w:tcPr>
          <w:p w14:paraId="4C2591C8">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企业微信激活统计</w:t>
            </w:r>
          </w:p>
        </w:tc>
        <w:tc>
          <w:tcPr>
            <w:tcW w:w="5954" w:type="dxa"/>
            <w:tcBorders>
              <w:top w:val="nil"/>
              <w:left w:val="nil"/>
              <w:bottom w:val="single" w:color="auto" w:sz="4" w:space="0"/>
              <w:right w:val="single" w:color="auto" w:sz="4" w:space="0"/>
            </w:tcBorders>
            <w:shd w:val="clear" w:color="auto" w:fill="auto"/>
            <w:noWrap/>
            <w:vAlign w:val="center"/>
          </w:tcPr>
          <w:p w14:paraId="5488CFB6">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提高数据准确性、实时性：准确实时统计企业微信的激活人数，未激活人数等企业微信相关信息。</w:t>
            </w:r>
          </w:p>
        </w:tc>
        <w:tc>
          <w:tcPr>
            <w:tcW w:w="1086" w:type="dxa"/>
            <w:vMerge w:val="continue"/>
            <w:tcBorders>
              <w:left w:val="nil"/>
              <w:right w:val="single" w:color="auto" w:sz="4" w:space="0"/>
            </w:tcBorders>
            <w:shd w:val="clear" w:color="auto" w:fill="auto"/>
            <w:noWrap/>
            <w:vAlign w:val="center"/>
          </w:tcPr>
          <w:p w14:paraId="0E0159A9">
            <w:pPr>
              <w:widowControl/>
              <w:jc w:val="center"/>
              <w:textAlignment w:val="center"/>
              <w:rPr>
                <w:rFonts w:hint="default" w:ascii="宋体" w:hAnsi="宋体" w:eastAsia="宋体" w:cs="宋体"/>
                <w:kern w:val="0"/>
                <w:sz w:val="24"/>
                <w:szCs w:val="24"/>
                <w:lang w:bidi="ar"/>
              </w:rPr>
            </w:pPr>
          </w:p>
        </w:tc>
      </w:tr>
      <w:tr w14:paraId="274EC5CD">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6A364B31">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35EFE9DA">
            <w:pPr>
              <w:rPr>
                <w:rFonts w:hint="default" w:ascii="宋体" w:hAnsi="宋体" w:eastAsia="宋体" w:cs="宋体"/>
                <w:sz w:val="24"/>
                <w:szCs w:val="24"/>
              </w:rPr>
            </w:pPr>
          </w:p>
        </w:tc>
        <w:tc>
          <w:tcPr>
            <w:tcW w:w="1225" w:type="dxa"/>
            <w:vMerge w:val="continue"/>
            <w:tcBorders>
              <w:top w:val="nil"/>
              <w:left w:val="single" w:color="auto" w:sz="4" w:space="0"/>
              <w:bottom w:val="single" w:color="auto" w:sz="4" w:space="0"/>
              <w:right w:val="single" w:color="auto" w:sz="4" w:space="0"/>
            </w:tcBorders>
            <w:shd w:val="clear" w:color="auto" w:fill="auto"/>
            <w:noWrap/>
            <w:vAlign w:val="center"/>
          </w:tcPr>
          <w:p w14:paraId="6B8FF7CE">
            <w:pPr>
              <w:rPr>
                <w:rFonts w:hint="default" w:ascii="宋体" w:hAnsi="宋体" w:eastAsia="宋体" w:cs="宋体"/>
                <w:sz w:val="24"/>
                <w:szCs w:val="24"/>
              </w:rPr>
            </w:pPr>
          </w:p>
        </w:tc>
        <w:tc>
          <w:tcPr>
            <w:tcW w:w="5954" w:type="dxa"/>
            <w:tcBorders>
              <w:top w:val="nil"/>
              <w:left w:val="nil"/>
              <w:bottom w:val="single" w:color="auto" w:sz="4" w:space="0"/>
              <w:right w:val="single" w:color="auto" w:sz="4" w:space="0"/>
            </w:tcBorders>
            <w:shd w:val="clear" w:color="auto" w:fill="auto"/>
            <w:noWrap/>
            <w:vAlign w:val="center"/>
          </w:tcPr>
          <w:p w14:paraId="2AFDB571">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数据源同步规则优化：主要对部门、人员数据从数据源同步的方式、时间、周期等进行可视化设置操作，设置方式有手工同步、自动同步。</w:t>
            </w:r>
          </w:p>
        </w:tc>
        <w:tc>
          <w:tcPr>
            <w:tcW w:w="1086" w:type="dxa"/>
            <w:vMerge w:val="continue"/>
            <w:tcBorders>
              <w:left w:val="nil"/>
              <w:right w:val="single" w:color="auto" w:sz="4" w:space="0"/>
            </w:tcBorders>
            <w:shd w:val="clear" w:color="auto" w:fill="auto"/>
            <w:noWrap/>
            <w:vAlign w:val="center"/>
          </w:tcPr>
          <w:p w14:paraId="6083154F">
            <w:pPr>
              <w:widowControl/>
              <w:jc w:val="center"/>
              <w:textAlignment w:val="center"/>
              <w:rPr>
                <w:rFonts w:hint="default" w:ascii="宋体" w:hAnsi="宋体" w:eastAsia="宋体" w:cs="宋体"/>
                <w:kern w:val="0"/>
                <w:sz w:val="24"/>
                <w:szCs w:val="24"/>
                <w:lang w:bidi="ar"/>
              </w:rPr>
            </w:pPr>
          </w:p>
        </w:tc>
      </w:tr>
      <w:tr w14:paraId="44D08033">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4BD97139">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25BC07B3">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auto" w:fill="auto"/>
            <w:noWrap/>
            <w:vAlign w:val="center"/>
          </w:tcPr>
          <w:p w14:paraId="03D80B87">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操作日志</w:t>
            </w:r>
          </w:p>
        </w:tc>
        <w:tc>
          <w:tcPr>
            <w:tcW w:w="5954" w:type="dxa"/>
            <w:tcBorders>
              <w:top w:val="nil"/>
              <w:left w:val="nil"/>
              <w:bottom w:val="single" w:color="auto" w:sz="4" w:space="0"/>
              <w:right w:val="single" w:color="auto" w:sz="4" w:space="0"/>
            </w:tcBorders>
            <w:shd w:val="clear" w:color="auto" w:fill="auto"/>
            <w:noWrap/>
            <w:vAlign w:val="center"/>
          </w:tcPr>
          <w:p w14:paraId="761E22B2">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系统登录日志需记录登录异常的情况。</w:t>
            </w:r>
          </w:p>
        </w:tc>
        <w:tc>
          <w:tcPr>
            <w:tcW w:w="1086" w:type="dxa"/>
            <w:vMerge w:val="continue"/>
            <w:tcBorders>
              <w:left w:val="nil"/>
              <w:right w:val="single" w:color="auto" w:sz="4" w:space="0"/>
            </w:tcBorders>
            <w:shd w:val="clear" w:color="auto" w:fill="auto"/>
            <w:noWrap/>
            <w:vAlign w:val="center"/>
          </w:tcPr>
          <w:p w14:paraId="5C104691">
            <w:pPr>
              <w:widowControl/>
              <w:jc w:val="center"/>
              <w:textAlignment w:val="center"/>
              <w:rPr>
                <w:rFonts w:hint="default" w:ascii="宋体" w:hAnsi="宋体" w:eastAsia="宋体" w:cs="宋体"/>
                <w:kern w:val="0"/>
                <w:sz w:val="24"/>
                <w:szCs w:val="24"/>
                <w:lang w:bidi="ar"/>
              </w:rPr>
            </w:pPr>
          </w:p>
        </w:tc>
      </w:tr>
      <w:tr w14:paraId="3BDC20A5">
        <w:tblPrEx>
          <w:tblCellMar>
            <w:top w:w="0" w:type="dxa"/>
            <w:left w:w="108" w:type="dxa"/>
            <w:bottom w:w="0" w:type="dxa"/>
            <w:right w:w="108" w:type="dxa"/>
          </w:tblCellMar>
        </w:tblPrEx>
        <w:trPr>
          <w:trHeight w:val="285" w:hRule="atLeast"/>
          <w:jc w:val="center"/>
        </w:trPr>
        <w:tc>
          <w:tcPr>
            <w:tcW w:w="546" w:type="dxa"/>
            <w:vMerge w:val="continue"/>
            <w:tcBorders>
              <w:top w:val="nil"/>
              <w:left w:val="single" w:color="auto" w:sz="4" w:space="0"/>
              <w:bottom w:val="single" w:color="auto" w:sz="4" w:space="0"/>
              <w:right w:val="single" w:color="auto" w:sz="4" w:space="0"/>
            </w:tcBorders>
            <w:shd w:val="clear" w:color="auto" w:fill="auto"/>
            <w:noWrap/>
            <w:vAlign w:val="center"/>
          </w:tcPr>
          <w:p w14:paraId="541CFFCB">
            <w:pPr>
              <w:jc w:val="center"/>
              <w:rPr>
                <w:rFonts w:hint="default" w:ascii="宋体" w:hAnsi="宋体" w:eastAsia="宋体" w:cs="宋体"/>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ign w:val="center"/>
          </w:tcPr>
          <w:p w14:paraId="5F72E3B6">
            <w:pPr>
              <w:rPr>
                <w:rFonts w:hint="default" w:ascii="宋体" w:hAnsi="宋体" w:eastAsia="宋体" w:cs="宋体"/>
                <w:sz w:val="24"/>
                <w:szCs w:val="24"/>
              </w:rPr>
            </w:pPr>
          </w:p>
        </w:tc>
        <w:tc>
          <w:tcPr>
            <w:tcW w:w="1225" w:type="dxa"/>
            <w:tcBorders>
              <w:top w:val="nil"/>
              <w:left w:val="nil"/>
              <w:bottom w:val="single" w:color="auto" w:sz="4" w:space="0"/>
              <w:right w:val="single" w:color="auto" w:sz="4" w:space="0"/>
            </w:tcBorders>
            <w:shd w:val="clear" w:color="auto" w:fill="auto"/>
            <w:noWrap/>
            <w:vAlign w:val="center"/>
          </w:tcPr>
          <w:p w14:paraId="69FF95DC">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企业微信同步日志</w:t>
            </w:r>
          </w:p>
        </w:tc>
        <w:tc>
          <w:tcPr>
            <w:tcW w:w="5954" w:type="dxa"/>
            <w:tcBorders>
              <w:top w:val="nil"/>
              <w:left w:val="nil"/>
              <w:bottom w:val="single" w:color="auto" w:sz="4" w:space="0"/>
              <w:right w:val="single" w:color="auto" w:sz="4" w:space="0"/>
            </w:tcBorders>
            <w:shd w:val="clear" w:color="auto" w:fill="auto"/>
            <w:noWrap/>
            <w:vAlign w:val="center"/>
          </w:tcPr>
          <w:p w14:paraId="5B461C97">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记录系统的同步日志，包括详细的调用和结果等。</w:t>
            </w:r>
          </w:p>
        </w:tc>
        <w:tc>
          <w:tcPr>
            <w:tcW w:w="1086" w:type="dxa"/>
            <w:vMerge w:val="continue"/>
            <w:tcBorders>
              <w:left w:val="nil"/>
              <w:bottom w:val="single" w:color="auto" w:sz="4" w:space="0"/>
              <w:right w:val="single" w:color="auto" w:sz="4" w:space="0"/>
            </w:tcBorders>
            <w:shd w:val="clear" w:color="auto" w:fill="auto"/>
            <w:noWrap/>
            <w:vAlign w:val="center"/>
          </w:tcPr>
          <w:p w14:paraId="59A7FD11">
            <w:pPr>
              <w:widowControl/>
              <w:jc w:val="center"/>
              <w:textAlignment w:val="center"/>
              <w:rPr>
                <w:rFonts w:hint="default" w:ascii="宋体" w:hAnsi="宋体" w:eastAsia="宋体" w:cs="宋体"/>
                <w:kern w:val="0"/>
                <w:sz w:val="24"/>
                <w:szCs w:val="24"/>
                <w:lang w:bidi="ar"/>
              </w:rPr>
            </w:pPr>
          </w:p>
        </w:tc>
      </w:tr>
      <w:tr w14:paraId="5C8AEEF7">
        <w:tblPrEx>
          <w:tblCellMar>
            <w:top w:w="0" w:type="dxa"/>
            <w:left w:w="108" w:type="dxa"/>
            <w:bottom w:w="0" w:type="dxa"/>
            <w:right w:w="108" w:type="dxa"/>
          </w:tblCellMar>
        </w:tblPrEx>
        <w:trPr>
          <w:trHeight w:val="838" w:hRule="atLeast"/>
          <w:jc w:val="center"/>
        </w:trPr>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1312F0C">
            <w:pPr>
              <w:widowControl/>
              <w:jc w:val="center"/>
              <w:textAlignment w:val="center"/>
              <w:rPr>
                <w:rFonts w:hint="default" w:ascii="宋体" w:hAnsi="宋体" w:eastAsia="宋体" w:cs="宋体"/>
                <w:sz w:val="24"/>
                <w:szCs w:val="24"/>
              </w:rPr>
            </w:pPr>
            <w:r>
              <w:rPr>
                <w:rFonts w:ascii="宋体" w:hAnsi="宋体" w:eastAsia="宋体" w:cs="宋体"/>
                <w:kern w:val="0"/>
                <w:sz w:val="24"/>
                <w:szCs w:val="24"/>
                <w:lang w:bidi="ar"/>
              </w:rPr>
              <w:t>3</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92F70E3">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数据迁移</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5D08983">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w:t>
            </w:r>
          </w:p>
        </w:tc>
        <w:tc>
          <w:tcPr>
            <w:tcW w:w="5954" w:type="dxa"/>
            <w:tcBorders>
              <w:top w:val="single" w:color="auto" w:sz="4" w:space="0"/>
              <w:left w:val="single" w:color="auto" w:sz="4" w:space="0"/>
              <w:bottom w:val="single" w:color="auto" w:sz="4" w:space="0"/>
              <w:right w:val="single" w:color="auto" w:sz="4" w:space="0"/>
            </w:tcBorders>
            <w:shd w:val="clear" w:color="auto" w:fill="auto"/>
            <w:vAlign w:val="center"/>
          </w:tcPr>
          <w:p w14:paraId="05DBC21B">
            <w:pPr>
              <w:widowControl/>
              <w:textAlignment w:val="center"/>
              <w:rPr>
                <w:rFonts w:hint="default" w:ascii="宋体" w:hAnsi="宋体" w:eastAsia="宋体" w:cs="宋体"/>
                <w:sz w:val="24"/>
                <w:szCs w:val="24"/>
              </w:rPr>
            </w:pPr>
            <w:r>
              <w:rPr>
                <w:rFonts w:ascii="宋体" w:hAnsi="宋体" w:eastAsia="宋体" w:cs="宋体"/>
                <w:kern w:val="0"/>
                <w:sz w:val="24"/>
                <w:szCs w:val="24"/>
                <w:lang w:bidi="ar"/>
              </w:rPr>
              <w:t>迁移原系统的历史数据，保障原有系统稳定运行。</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1DE083C">
            <w:pPr>
              <w:widowControl/>
              <w:jc w:val="cente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0.5</w:t>
            </w:r>
          </w:p>
        </w:tc>
      </w:tr>
      <w:tr w14:paraId="684CD9B0">
        <w:tblPrEx>
          <w:tblCellMar>
            <w:top w:w="0" w:type="dxa"/>
            <w:left w:w="108" w:type="dxa"/>
            <w:bottom w:w="0" w:type="dxa"/>
            <w:right w:w="108" w:type="dxa"/>
          </w:tblCellMar>
        </w:tblPrEx>
        <w:trPr>
          <w:trHeight w:val="433" w:hRule="atLeast"/>
          <w:jc w:val="center"/>
        </w:trPr>
        <w:tc>
          <w:tcPr>
            <w:tcW w:w="85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C27B54">
            <w:pPr>
              <w:widowControl/>
              <w:jc w:val="cente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预算合计（万元）</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F1EFC5E">
            <w:pPr>
              <w:widowControl/>
              <w:jc w:val="center"/>
              <w:textAlignment w:val="center"/>
              <w:rPr>
                <w:rFonts w:hint="default" w:ascii="宋体" w:hAnsi="宋体" w:eastAsia="宋体" w:cs="宋体"/>
                <w:kern w:val="0"/>
                <w:sz w:val="24"/>
                <w:szCs w:val="24"/>
                <w:lang w:bidi="ar"/>
              </w:rPr>
            </w:pPr>
            <w:r>
              <w:rPr>
                <w:rFonts w:ascii="宋体" w:hAnsi="宋体" w:eastAsia="宋体" w:cs="宋体"/>
                <w:kern w:val="0"/>
                <w:sz w:val="24"/>
                <w:szCs w:val="24"/>
                <w:lang w:bidi="ar"/>
              </w:rPr>
              <w:t>20</w:t>
            </w:r>
          </w:p>
        </w:tc>
      </w:tr>
    </w:tbl>
    <w:p w14:paraId="115A1ABC">
      <w:pPr>
        <w:pStyle w:val="2"/>
        <w:spacing w:line="360" w:lineRule="auto"/>
        <w:ind w:left="-420" w:leftChars="-200" w:firstLine="0"/>
        <w:rPr>
          <w:rFonts w:hint="default" w:ascii="宋体" w:hAnsi="宋体" w:eastAsia="宋体"/>
          <w:b/>
          <w:sz w:val="24"/>
          <w:szCs w:val="24"/>
        </w:rPr>
      </w:pPr>
    </w:p>
    <w:p w14:paraId="397C9619">
      <w:pPr>
        <w:pStyle w:val="2"/>
        <w:numPr>
          <w:ilvl w:val="0"/>
          <w:numId w:val="2"/>
        </w:numPr>
        <w:spacing w:line="360" w:lineRule="auto"/>
        <w:ind w:left="482" w:hanging="482" w:hangingChars="200"/>
        <w:rPr>
          <w:rFonts w:hint="default" w:ascii="宋体" w:hAnsi="宋体" w:eastAsia="宋体"/>
          <w:b/>
          <w:sz w:val="24"/>
          <w:szCs w:val="24"/>
        </w:rPr>
      </w:pPr>
      <w:r>
        <w:rPr>
          <w:rFonts w:ascii="宋体" w:hAnsi="宋体" w:eastAsia="宋体"/>
          <w:b/>
          <w:sz w:val="24"/>
          <w:szCs w:val="24"/>
        </w:rPr>
        <w:t>产品技术及服务保障要求</w:t>
      </w:r>
    </w:p>
    <w:tbl>
      <w:tblPr>
        <w:tblStyle w:val="14"/>
        <w:tblW w:w="4989" w:type="pct"/>
        <w:tblInd w:w="0" w:type="dxa"/>
        <w:tblLayout w:type="autofit"/>
        <w:tblCellMar>
          <w:top w:w="0" w:type="dxa"/>
          <w:left w:w="0" w:type="dxa"/>
          <w:bottom w:w="0" w:type="dxa"/>
          <w:right w:w="0" w:type="dxa"/>
        </w:tblCellMar>
      </w:tblPr>
      <w:tblGrid>
        <w:gridCol w:w="752"/>
        <w:gridCol w:w="1223"/>
        <w:gridCol w:w="6343"/>
      </w:tblGrid>
      <w:tr w14:paraId="64F80972">
        <w:tblPrEx>
          <w:tblCellMar>
            <w:top w:w="0" w:type="dxa"/>
            <w:left w:w="0" w:type="dxa"/>
            <w:bottom w:w="0" w:type="dxa"/>
            <w:right w:w="0" w:type="dxa"/>
          </w:tblCellMar>
        </w:tblPrEx>
        <w:trPr>
          <w:trHeight w:val="492" w:hRule="atLeast"/>
        </w:trPr>
        <w:tc>
          <w:tcPr>
            <w:tcW w:w="4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5D608659">
            <w:pPr>
              <w:widowControl/>
              <w:jc w:val="center"/>
              <w:textAlignment w:val="center"/>
              <w:rPr>
                <w:rFonts w:hint="default" w:ascii="宋体" w:hAnsi="宋体" w:eastAsia="宋体" w:cs="宋体"/>
                <w:bCs/>
                <w:color w:val="auto"/>
                <w:kern w:val="0"/>
                <w:sz w:val="24"/>
                <w:szCs w:val="24"/>
                <w:lang w:bidi="ar"/>
              </w:rPr>
            </w:pPr>
            <w:r>
              <w:rPr>
                <w:rFonts w:ascii="宋体" w:hAnsi="宋体" w:eastAsia="宋体" w:cs="宋体"/>
                <w:bCs/>
                <w:color w:val="auto"/>
                <w:kern w:val="0"/>
                <w:sz w:val="24"/>
                <w:szCs w:val="24"/>
                <w:lang w:bidi="ar"/>
              </w:rPr>
              <w:t>序号</w:t>
            </w:r>
          </w:p>
        </w:tc>
        <w:tc>
          <w:tcPr>
            <w:tcW w:w="4547"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15" w:type="dxa"/>
              <w:left w:w="15" w:type="dxa"/>
              <w:right w:w="15" w:type="dxa"/>
            </w:tcMar>
            <w:vAlign w:val="center"/>
          </w:tcPr>
          <w:p w14:paraId="6470E072">
            <w:pPr>
              <w:widowControl/>
              <w:jc w:val="center"/>
              <w:textAlignment w:val="center"/>
              <w:rPr>
                <w:rFonts w:hint="default" w:ascii="宋体" w:hAnsi="宋体" w:eastAsia="宋体" w:cs="宋体"/>
                <w:bCs/>
                <w:color w:val="auto"/>
                <w:kern w:val="0"/>
                <w:sz w:val="24"/>
                <w:szCs w:val="24"/>
                <w:lang w:bidi="ar"/>
              </w:rPr>
            </w:pPr>
            <w:r>
              <w:rPr>
                <w:rFonts w:ascii="宋体" w:hAnsi="宋体" w:eastAsia="宋体" w:cs="宋体"/>
                <w:bCs/>
                <w:color w:val="auto"/>
                <w:kern w:val="0"/>
                <w:sz w:val="24"/>
                <w:szCs w:val="24"/>
                <w:lang w:bidi="ar"/>
              </w:rPr>
              <w:t>产品技术及服务保障要求</w:t>
            </w:r>
          </w:p>
        </w:tc>
      </w:tr>
      <w:tr w14:paraId="0A6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tcBorders>
              <w:top w:val="single" w:color="auto" w:sz="4" w:space="0"/>
              <w:left w:val="single" w:color="auto" w:sz="4" w:space="0"/>
              <w:bottom w:val="single" w:color="auto" w:sz="4" w:space="0"/>
              <w:right w:val="single" w:color="auto" w:sz="4" w:space="0"/>
            </w:tcBorders>
            <w:vAlign w:val="center"/>
          </w:tcPr>
          <w:p w14:paraId="1A8F542D">
            <w:pPr>
              <w:pStyle w:val="2"/>
              <w:ind w:firstLine="0"/>
              <w:jc w:val="center"/>
              <w:rPr>
                <w:rFonts w:hint="default" w:ascii="宋体" w:hAnsi="宋体" w:eastAsia="宋体" w:cs="宋体"/>
                <w:kern w:val="0"/>
                <w:sz w:val="24"/>
                <w:szCs w:val="24"/>
                <w:lang w:bidi="ar"/>
              </w:rPr>
            </w:pPr>
            <w:r>
              <w:rPr>
                <w:rFonts w:ascii="宋体" w:hAnsi="宋体" w:eastAsia="宋体" w:cs="宋体"/>
                <w:kern w:val="0"/>
                <w:sz w:val="24"/>
                <w:szCs w:val="24"/>
                <w:lang w:bidi="ar"/>
              </w:rPr>
              <w:t>1</w:t>
            </w:r>
          </w:p>
        </w:tc>
        <w:tc>
          <w:tcPr>
            <w:tcW w:w="735" w:type="pct"/>
            <w:tcBorders>
              <w:top w:val="single" w:color="auto" w:sz="4" w:space="0"/>
              <w:left w:val="single" w:color="auto" w:sz="4" w:space="0"/>
              <w:bottom w:val="single" w:color="auto" w:sz="4" w:space="0"/>
              <w:right w:val="single" w:color="auto" w:sz="4" w:space="0"/>
            </w:tcBorders>
            <w:vAlign w:val="center"/>
          </w:tcPr>
          <w:p w14:paraId="079CFC32">
            <w:pPr>
              <w:pStyle w:val="22"/>
              <w:jc w:val="center"/>
              <w:rPr>
                <w:rFonts w:ascii="宋体" w:hAnsi="宋体" w:cs="宋体"/>
                <w:color w:val="000000" w:themeColor="text1"/>
                <w:sz w:val="24"/>
                <w:szCs w:val="24"/>
                <w:lang w:bidi="ar"/>
                <w14:textFill>
                  <w14:solidFill>
                    <w14:schemeClr w14:val="tx1"/>
                  </w14:solidFill>
                </w14:textFill>
              </w:rPr>
            </w:pPr>
            <w:r>
              <w:rPr>
                <w:rFonts w:hint="eastAsia" w:ascii="宋体" w:hAnsi="宋体" w:cs="宋体"/>
                <w:color w:val="000000"/>
                <w:kern w:val="0"/>
                <w:sz w:val="24"/>
                <w:szCs w:val="24"/>
                <w:lang w:bidi="ar"/>
              </w:rPr>
              <w:t>技术要求</w:t>
            </w:r>
          </w:p>
        </w:tc>
        <w:tc>
          <w:tcPr>
            <w:tcW w:w="3811" w:type="pct"/>
            <w:tcBorders>
              <w:top w:val="single" w:color="auto" w:sz="4" w:space="0"/>
              <w:left w:val="single" w:color="auto" w:sz="4" w:space="0"/>
              <w:bottom w:val="single" w:color="auto" w:sz="4" w:space="0"/>
              <w:right w:val="single" w:color="auto" w:sz="4" w:space="0"/>
            </w:tcBorders>
            <w:vAlign w:val="center"/>
          </w:tcPr>
          <w:p w14:paraId="2C83C655">
            <w:pPr>
              <w:spacing w:line="360" w:lineRule="auto"/>
              <w:rPr>
                <w:rFonts w:hint="default" w:ascii="宋体" w:hAnsi="宋体" w:eastAsia="宋体" w:cs="宋体"/>
                <w:sz w:val="24"/>
                <w:szCs w:val="24"/>
              </w:rPr>
            </w:pPr>
            <w:r>
              <w:rPr>
                <w:rFonts w:ascii="宋体" w:hAnsi="宋体" w:eastAsia="宋体" w:cs="宋体"/>
                <w:sz w:val="24"/>
                <w:szCs w:val="24"/>
              </w:rPr>
              <w:t>产品故障诊断：对出现问题的产品第一时间做出响应，并安装故障级别确定修复计划。</w:t>
            </w:r>
          </w:p>
          <w:p w14:paraId="565C7F3F">
            <w:pPr>
              <w:spacing w:line="360" w:lineRule="auto"/>
              <w:rPr>
                <w:rFonts w:hint="default" w:ascii="宋体" w:hAnsi="宋体" w:eastAsia="宋体" w:cs="宋体"/>
                <w:sz w:val="24"/>
                <w:szCs w:val="24"/>
              </w:rPr>
            </w:pPr>
            <w:r>
              <w:rPr>
                <w:rFonts w:ascii="宋体" w:hAnsi="宋体" w:eastAsia="宋体" w:cs="宋体"/>
                <w:sz w:val="24"/>
                <w:szCs w:val="24"/>
              </w:rPr>
              <w:t>产品升级修复：对产品进行必要的升级来修复低版本产品中遗漏的重要bug，漏洞等。</w:t>
            </w:r>
          </w:p>
          <w:p w14:paraId="358A81F5">
            <w:pPr>
              <w:spacing w:line="360" w:lineRule="auto"/>
              <w:rPr>
                <w:rFonts w:hint="default" w:ascii="宋体" w:hAnsi="宋体" w:eastAsia="宋体" w:cs="宋体"/>
                <w:sz w:val="24"/>
                <w:szCs w:val="24"/>
              </w:rPr>
            </w:pPr>
            <w:r>
              <w:rPr>
                <w:rFonts w:ascii="宋体" w:hAnsi="宋体" w:eastAsia="宋体" w:cs="宋体"/>
                <w:sz w:val="24"/>
                <w:szCs w:val="24"/>
              </w:rPr>
              <w:t>系统漏洞修复：消除漏洞给产品和数据带来的安全隐患，并针对修复漏洞对产品的影响进行分析、修复。</w:t>
            </w:r>
          </w:p>
          <w:p w14:paraId="1DA86754">
            <w:pPr>
              <w:spacing w:line="360" w:lineRule="auto"/>
              <w:rPr>
                <w:rFonts w:hint="default" w:ascii="宋体" w:hAnsi="宋体" w:eastAsia="宋体" w:cs="宋体"/>
                <w:sz w:val="24"/>
                <w:szCs w:val="24"/>
              </w:rPr>
            </w:pPr>
            <w:r>
              <w:rPr>
                <w:rFonts w:ascii="宋体" w:hAnsi="宋体" w:eastAsia="宋体" w:cs="宋体"/>
                <w:sz w:val="24"/>
                <w:szCs w:val="24"/>
              </w:rPr>
              <w:t>系统服务：CPU/内存/磁盘等硬件资源出现异常、或者产品组件出现问题导致的产品使用的异常解决。</w:t>
            </w:r>
          </w:p>
          <w:p w14:paraId="6090B464">
            <w:pPr>
              <w:spacing w:line="360" w:lineRule="auto"/>
              <w:rPr>
                <w:rFonts w:hint="default" w:ascii="宋体" w:hAnsi="宋体" w:eastAsia="宋体" w:cs="宋体"/>
                <w:sz w:val="24"/>
                <w:szCs w:val="24"/>
              </w:rPr>
            </w:pPr>
            <w:r>
              <w:rPr>
                <w:rFonts w:ascii="宋体" w:hAnsi="宋体" w:eastAsia="宋体" w:cs="宋体"/>
                <w:sz w:val="24"/>
                <w:szCs w:val="24"/>
              </w:rPr>
              <w:t>问题管理：对学校提出或开发过程中遇到的问题进行汇总和发布、解决。</w:t>
            </w:r>
          </w:p>
          <w:p w14:paraId="2A6546FB">
            <w:pPr>
              <w:spacing w:line="360" w:lineRule="auto"/>
              <w:rPr>
                <w:rFonts w:hint="default" w:ascii="宋体" w:hAnsi="宋体" w:eastAsia="宋体" w:cs="宋体"/>
                <w:sz w:val="24"/>
                <w:szCs w:val="24"/>
              </w:rPr>
            </w:pPr>
            <w:r>
              <w:rPr>
                <w:rFonts w:ascii="宋体" w:hAnsi="宋体" w:eastAsia="宋体" w:cs="宋体"/>
                <w:sz w:val="24"/>
                <w:szCs w:val="24"/>
              </w:rPr>
              <w:t>接口对接/数据同步：对使用产品过程中需要对接、同步等服务出现问题提供沟通调试服务。</w:t>
            </w:r>
          </w:p>
        </w:tc>
      </w:tr>
      <w:tr w14:paraId="4453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tcBorders>
              <w:top w:val="single" w:color="auto" w:sz="4" w:space="0"/>
              <w:left w:val="single" w:color="auto" w:sz="4" w:space="0"/>
              <w:bottom w:val="single" w:color="auto" w:sz="4" w:space="0"/>
              <w:right w:val="single" w:color="auto" w:sz="4" w:space="0"/>
            </w:tcBorders>
            <w:vAlign w:val="center"/>
          </w:tcPr>
          <w:p w14:paraId="415EB2F0">
            <w:pPr>
              <w:pStyle w:val="2"/>
              <w:ind w:firstLine="0"/>
              <w:jc w:val="center"/>
              <w:rPr>
                <w:rFonts w:hint="default" w:ascii="宋体" w:hAnsi="宋体" w:eastAsia="宋体" w:cs="宋体"/>
                <w:kern w:val="0"/>
                <w:sz w:val="24"/>
                <w:szCs w:val="24"/>
                <w:lang w:bidi="ar"/>
              </w:rPr>
            </w:pPr>
            <w:r>
              <w:rPr>
                <w:rFonts w:ascii="宋体" w:hAnsi="宋体" w:eastAsia="宋体" w:cs="宋体"/>
                <w:kern w:val="0"/>
                <w:sz w:val="24"/>
                <w:szCs w:val="24"/>
                <w:lang w:bidi="ar"/>
              </w:rPr>
              <w:t>2</w:t>
            </w:r>
          </w:p>
        </w:tc>
        <w:tc>
          <w:tcPr>
            <w:tcW w:w="735" w:type="pct"/>
            <w:tcBorders>
              <w:top w:val="single" w:color="auto" w:sz="4" w:space="0"/>
              <w:left w:val="single" w:color="auto" w:sz="4" w:space="0"/>
              <w:bottom w:val="single" w:color="auto" w:sz="4" w:space="0"/>
              <w:right w:val="single" w:color="auto" w:sz="4" w:space="0"/>
            </w:tcBorders>
            <w:vAlign w:val="center"/>
          </w:tcPr>
          <w:p w14:paraId="6903891C">
            <w:pPr>
              <w:pStyle w:val="22"/>
              <w:jc w:val="center"/>
              <w:rPr>
                <w:rFonts w:ascii="宋体" w:hAnsi="宋体" w:cs="宋体"/>
                <w:color w:val="000000"/>
                <w:sz w:val="24"/>
                <w:szCs w:val="24"/>
              </w:rPr>
            </w:pPr>
            <w:r>
              <w:rPr>
                <w:rFonts w:hint="eastAsia" w:ascii="宋体" w:hAnsi="宋体" w:cs="宋体"/>
                <w:color w:val="000000"/>
                <w:sz w:val="24"/>
                <w:szCs w:val="24"/>
              </w:rPr>
              <w:t>服务效率</w:t>
            </w:r>
          </w:p>
        </w:tc>
        <w:tc>
          <w:tcPr>
            <w:tcW w:w="3811" w:type="pct"/>
            <w:tcBorders>
              <w:top w:val="single" w:color="auto" w:sz="4" w:space="0"/>
              <w:left w:val="single" w:color="auto" w:sz="4" w:space="0"/>
              <w:bottom w:val="single" w:color="auto" w:sz="4" w:space="0"/>
              <w:right w:val="single" w:color="auto" w:sz="4" w:space="0"/>
            </w:tcBorders>
            <w:vAlign w:val="center"/>
          </w:tcPr>
          <w:p w14:paraId="47AFF4E7">
            <w:pPr>
              <w:pStyle w:val="2"/>
              <w:spacing w:line="360" w:lineRule="auto"/>
              <w:ind w:firstLine="0"/>
              <w:rPr>
                <w:rFonts w:hint="default" w:ascii="宋体" w:hAnsi="宋体" w:eastAsia="宋体" w:cs="宋体"/>
                <w:sz w:val="24"/>
                <w:szCs w:val="24"/>
              </w:rPr>
            </w:pPr>
            <w:r>
              <w:rPr>
                <w:rFonts w:ascii="宋体" w:hAnsi="宋体" w:eastAsia="宋体" w:cs="宋体"/>
                <w:sz w:val="24"/>
                <w:szCs w:val="24"/>
              </w:rPr>
              <w:t>产品出现故障时，成交供应商接到项目负责人、联系人通知后，应在不超过2小时内做出响应，4小时内到场，不超过2个工作日内解决故障。</w:t>
            </w:r>
          </w:p>
        </w:tc>
      </w:tr>
      <w:tr w14:paraId="22FF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restart"/>
            <w:tcBorders>
              <w:top w:val="single" w:color="auto" w:sz="4" w:space="0"/>
              <w:left w:val="single" w:color="auto" w:sz="4" w:space="0"/>
              <w:bottom w:val="single" w:color="auto" w:sz="4" w:space="0"/>
              <w:right w:val="single" w:color="auto" w:sz="4" w:space="0"/>
            </w:tcBorders>
            <w:vAlign w:val="center"/>
          </w:tcPr>
          <w:p w14:paraId="422C00DB">
            <w:pPr>
              <w:pStyle w:val="2"/>
              <w:ind w:firstLine="0"/>
              <w:jc w:val="center"/>
              <w:rPr>
                <w:rFonts w:hint="default" w:ascii="宋体" w:hAnsi="宋体" w:eastAsia="宋体" w:cs="宋体"/>
                <w:kern w:val="0"/>
                <w:sz w:val="24"/>
                <w:szCs w:val="24"/>
                <w:lang w:bidi="ar"/>
              </w:rPr>
            </w:pPr>
            <w:r>
              <w:rPr>
                <w:rFonts w:ascii="宋体" w:hAnsi="宋体" w:eastAsia="宋体" w:cs="宋体"/>
                <w:kern w:val="0"/>
                <w:sz w:val="24"/>
                <w:szCs w:val="24"/>
                <w:lang w:bidi="ar"/>
              </w:rPr>
              <w:t>3</w:t>
            </w:r>
          </w:p>
        </w:tc>
        <w:tc>
          <w:tcPr>
            <w:tcW w:w="735" w:type="pct"/>
            <w:vMerge w:val="restart"/>
            <w:tcBorders>
              <w:top w:val="single" w:color="auto" w:sz="4" w:space="0"/>
              <w:left w:val="single" w:color="auto" w:sz="4" w:space="0"/>
              <w:bottom w:val="single" w:color="auto" w:sz="4" w:space="0"/>
              <w:right w:val="single" w:color="auto" w:sz="4" w:space="0"/>
            </w:tcBorders>
            <w:vAlign w:val="center"/>
          </w:tcPr>
          <w:p w14:paraId="2D29B9C9">
            <w:pPr>
              <w:pStyle w:val="22"/>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软件维护管理</w:t>
            </w:r>
          </w:p>
        </w:tc>
        <w:tc>
          <w:tcPr>
            <w:tcW w:w="3811" w:type="pct"/>
            <w:tcBorders>
              <w:top w:val="single" w:color="auto" w:sz="4" w:space="0"/>
              <w:left w:val="single" w:color="auto" w:sz="4" w:space="0"/>
              <w:bottom w:val="single" w:color="auto" w:sz="4" w:space="0"/>
              <w:right w:val="single" w:color="auto" w:sz="4" w:space="0"/>
            </w:tcBorders>
            <w:vAlign w:val="center"/>
          </w:tcPr>
          <w:p w14:paraId="34C920E6">
            <w:pPr>
              <w:spacing w:line="360" w:lineRule="auto"/>
              <w:rPr>
                <w:rFonts w:hint="default" w:ascii="宋体" w:hAnsi="宋体" w:eastAsia="宋体" w:cs="宋体"/>
                <w:sz w:val="24"/>
                <w:szCs w:val="24"/>
              </w:rPr>
            </w:pPr>
            <w:r>
              <w:rPr>
                <w:rFonts w:ascii="宋体" w:hAnsi="宋体" w:eastAsia="宋体" w:cs="宋体"/>
                <w:sz w:val="24"/>
                <w:szCs w:val="24"/>
              </w:rPr>
              <w:t>系统安全性检查：系统软件的安全级别符合《计算机信息系统安全保护等级划分准则》（GB17859）的有关规定。定期更换系统密码，定期核准用户权限，防止系统出现越权访问。定期进行IP地址测试，检测非法用户，防止非法用户入侵。</w:t>
            </w:r>
          </w:p>
        </w:tc>
      </w:tr>
      <w:tr w14:paraId="13B5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4C336B86">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6BB0CDD1">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78D4B878">
            <w:pPr>
              <w:spacing w:line="360" w:lineRule="auto"/>
              <w:rPr>
                <w:rFonts w:hint="default" w:ascii="宋体" w:hAnsi="宋体" w:eastAsia="宋体" w:cs="宋体"/>
                <w:sz w:val="24"/>
                <w:szCs w:val="24"/>
              </w:rPr>
            </w:pPr>
            <w:r>
              <w:rPr>
                <w:rFonts w:ascii="宋体" w:hAnsi="宋体" w:eastAsia="宋体" w:cs="宋体"/>
                <w:sz w:val="24"/>
                <w:szCs w:val="24"/>
              </w:rPr>
              <w:t>软件运行状态检查：要求所有服务器端和客户端的软件运行稳定，软件无卡机和假运行现象。</w:t>
            </w:r>
          </w:p>
        </w:tc>
      </w:tr>
      <w:tr w14:paraId="160D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3F0727D3">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108FAC69">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72D5FB0D">
            <w:pPr>
              <w:spacing w:line="360" w:lineRule="auto"/>
              <w:rPr>
                <w:rFonts w:hint="default" w:ascii="宋体" w:hAnsi="宋体" w:eastAsia="宋体" w:cs="宋体"/>
                <w:sz w:val="24"/>
                <w:szCs w:val="24"/>
              </w:rPr>
            </w:pPr>
            <w:r>
              <w:rPr>
                <w:rFonts w:ascii="宋体" w:hAnsi="宋体" w:eastAsia="宋体" w:cs="宋体"/>
                <w:sz w:val="24"/>
                <w:szCs w:val="24"/>
              </w:rPr>
              <w:t>应用软件变更：免费提供2人日用于增加、修改、删除、调整应用软件，应用软件变更消耗的总工作量超过2人日执行需求变更流程。</w:t>
            </w:r>
          </w:p>
        </w:tc>
      </w:tr>
      <w:tr w14:paraId="0DCB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12092532">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03E4977B">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7393F284">
            <w:pPr>
              <w:spacing w:line="360" w:lineRule="auto"/>
              <w:rPr>
                <w:rFonts w:hint="default" w:ascii="宋体" w:hAnsi="宋体" w:eastAsia="宋体" w:cs="宋体"/>
                <w:sz w:val="24"/>
                <w:szCs w:val="24"/>
              </w:rPr>
            </w:pPr>
            <w:r>
              <w:rPr>
                <w:rFonts w:ascii="宋体" w:hAnsi="宋体" w:eastAsia="宋体" w:cs="宋体"/>
                <w:sz w:val="24"/>
                <w:szCs w:val="24"/>
              </w:rPr>
              <w:t>数据备份管理：每月对业务数据和配置信息进行备份。定期检查备份数据是否安全可用。</w:t>
            </w:r>
          </w:p>
        </w:tc>
      </w:tr>
      <w:tr w14:paraId="5D6C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5A75DA97">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764FB89B">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6B6A05C5">
            <w:pPr>
              <w:spacing w:line="360" w:lineRule="auto"/>
              <w:rPr>
                <w:rFonts w:hint="default" w:ascii="宋体" w:hAnsi="宋体" w:eastAsia="宋体" w:cs="宋体"/>
                <w:sz w:val="24"/>
                <w:szCs w:val="24"/>
              </w:rPr>
            </w:pPr>
            <w:r>
              <w:rPr>
                <w:rFonts w:ascii="宋体" w:hAnsi="宋体" w:eastAsia="宋体" w:cs="宋体"/>
                <w:sz w:val="24"/>
                <w:szCs w:val="24"/>
              </w:rPr>
              <w:t>软件故障恢复管理：对软件(如操作系统、数据库系统、应用软件、重要设备配置信息等)能够自动或在人工干预下从故障状态下恢复到正常状态而不导致系统混乱和数据丢失。</w:t>
            </w:r>
          </w:p>
        </w:tc>
      </w:tr>
      <w:tr w14:paraId="0236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1FC55B44">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714AF772">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6403D602">
            <w:pPr>
              <w:spacing w:line="360" w:lineRule="auto"/>
              <w:rPr>
                <w:rFonts w:hint="default" w:ascii="宋体" w:hAnsi="宋体" w:eastAsia="宋体" w:cs="宋体"/>
                <w:sz w:val="24"/>
                <w:szCs w:val="24"/>
              </w:rPr>
            </w:pPr>
            <w:r>
              <w:rPr>
                <w:rFonts w:ascii="宋体" w:hAnsi="宋体" w:eastAsia="宋体" w:cs="宋体"/>
                <w:sz w:val="24"/>
                <w:szCs w:val="24"/>
              </w:rPr>
              <w:t>日志管理：每季度备份并清理过期日志记录，避免发生磁盘空间溢出。</w:t>
            </w:r>
          </w:p>
        </w:tc>
      </w:tr>
      <w:tr w14:paraId="1252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6D8AA6ED">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7B32B72D">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63AA2B76">
            <w:pPr>
              <w:spacing w:line="360" w:lineRule="auto"/>
              <w:rPr>
                <w:rFonts w:hint="default" w:ascii="宋体" w:hAnsi="宋体" w:eastAsia="宋体" w:cs="宋体"/>
                <w:sz w:val="24"/>
                <w:szCs w:val="24"/>
              </w:rPr>
            </w:pPr>
            <w:r>
              <w:rPr>
                <w:rFonts w:ascii="宋体" w:hAnsi="宋体" w:eastAsia="宋体" w:cs="宋体"/>
                <w:sz w:val="24"/>
                <w:szCs w:val="24"/>
              </w:rPr>
              <w:t>应急演习：每半年组织一次应急演习，并提交演习总结报告，若在演习过程中发现问题，还须提交整改方案和实施计划。</w:t>
            </w:r>
          </w:p>
        </w:tc>
      </w:tr>
      <w:tr w14:paraId="6A97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7878F201">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52E90720">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50C32CB8">
            <w:pPr>
              <w:spacing w:line="360" w:lineRule="auto"/>
              <w:rPr>
                <w:rFonts w:hint="default" w:ascii="宋体" w:hAnsi="宋体" w:eastAsia="宋体" w:cs="宋体"/>
                <w:sz w:val="24"/>
                <w:szCs w:val="24"/>
              </w:rPr>
            </w:pPr>
            <w:r>
              <w:rPr>
                <w:rFonts w:ascii="宋体" w:hAnsi="宋体" w:eastAsia="宋体" w:cs="宋体"/>
                <w:sz w:val="24"/>
                <w:szCs w:val="24"/>
              </w:rPr>
              <w:t>用户培训：一年两次对监控员进行操作和简易维护培训，主要培训内容为系统的基本架构、性能、日常使用操作、维护与管理、常见故障的排除、紧急情况的处理等。</w:t>
            </w:r>
          </w:p>
        </w:tc>
      </w:tr>
      <w:tr w14:paraId="7D90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4BE5C6C6">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49077BC9">
            <w:pPr>
              <w:pStyle w:val="22"/>
              <w:jc w:val="center"/>
              <w:rPr>
                <w:rFonts w:ascii="宋体" w:hAnsi="宋体" w:cs="宋体"/>
                <w:color w:val="000000"/>
                <w:kern w:val="0"/>
                <w:sz w:val="24"/>
                <w:szCs w:val="24"/>
                <w:lang w:bidi="ar"/>
              </w:rPr>
            </w:pPr>
          </w:p>
        </w:tc>
        <w:tc>
          <w:tcPr>
            <w:tcW w:w="3811" w:type="pct"/>
            <w:tcBorders>
              <w:top w:val="single" w:color="auto" w:sz="4" w:space="0"/>
              <w:left w:val="single" w:color="auto" w:sz="4" w:space="0"/>
              <w:bottom w:val="single" w:color="auto" w:sz="4" w:space="0"/>
              <w:right w:val="single" w:color="auto" w:sz="4" w:space="0"/>
            </w:tcBorders>
            <w:vAlign w:val="center"/>
          </w:tcPr>
          <w:p w14:paraId="3F24B067">
            <w:pPr>
              <w:spacing w:line="360" w:lineRule="auto"/>
              <w:rPr>
                <w:rFonts w:hint="default" w:ascii="宋体" w:hAnsi="宋体" w:eastAsia="宋体" w:cs="宋体"/>
                <w:sz w:val="24"/>
                <w:szCs w:val="24"/>
              </w:rPr>
            </w:pPr>
            <w:r>
              <w:rPr>
                <w:rFonts w:ascii="宋体" w:hAnsi="宋体" w:eastAsia="宋体" w:cs="宋体"/>
                <w:sz w:val="24"/>
                <w:szCs w:val="24"/>
              </w:rPr>
              <w:t>系统维护报告：每半年对系统维护情况进行总结。</w:t>
            </w:r>
          </w:p>
        </w:tc>
      </w:tr>
      <w:tr w14:paraId="5CE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restart"/>
            <w:tcBorders>
              <w:top w:val="single" w:color="auto" w:sz="4" w:space="0"/>
              <w:left w:val="single" w:color="auto" w:sz="4" w:space="0"/>
              <w:bottom w:val="single" w:color="auto" w:sz="4" w:space="0"/>
              <w:right w:val="single" w:color="auto" w:sz="4" w:space="0"/>
            </w:tcBorders>
            <w:vAlign w:val="center"/>
          </w:tcPr>
          <w:p w14:paraId="1E08EC25">
            <w:pPr>
              <w:pStyle w:val="2"/>
              <w:ind w:firstLine="0"/>
              <w:jc w:val="center"/>
              <w:rPr>
                <w:rFonts w:hint="default" w:ascii="宋体" w:hAnsi="宋体" w:eastAsia="宋体" w:cs="宋体"/>
                <w:kern w:val="0"/>
                <w:sz w:val="24"/>
                <w:szCs w:val="24"/>
                <w:lang w:bidi="ar"/>
              </w:rPr>
            </w:pPr>
            <w:r>
              <w:rPr>
                <w:rFonts w:ascii="宋体" w:hAnsi="宋体" w:eastAsia="宋体" w:cs="宋体"/>
                <w:kern w:val="0"/>
                <w:sz w:val="24"/>
                <w:szCs w:val="24"/>
                <w:lang w:bidi="ar"/>
              </w:rPr>
              <w:t>4</w:t>
            </w:r>
          </w:p>
        </w:tc>
        <w:tc>
          <w:tcPr>
            <w:tcW w:w="735" w:type="pct"/>
            <w:vMerge w:val="restart"/>
            <w:tcBorders>
              <w:top w:val="single" w:color="auto" w:sz="4" w:space="0"/>
              <w:left w:val="single" w:color="auto" w:sz="4" w:space="0"/>
              <w:bottom w:val="single" w:color="auto" w:sz="4" w:space="0"/>
              <w:right w:val="single" w:color="auto" w:sz="4" w:space="0"/>
            </w:tcBorders>
            <w:vAlign w:val="center"/>
          </w:tcPr>
          <w:p w14:paraId="57581A16">
            <w:pPr>
              <w:pStyle w:val="22"/>
              <w:jc w:val="center"/>
              <w:rPr>
                <w:rFonts w:ascii="宋体" w:hAnsi="宋体" w:cs="宋体"/>
                <w:color w:val="000000"/>
                <w:sz w:val="24"/>
                <w:szCs w:val="24"/>
              </w:rPr>
            </w:pPr>
            <w:r>
              <w:rPr>
                <w:rFonts w:hint="eastAsia" w:ascii="宋体" w:hAnsi="宋体" w:cs="宋体"/>
                <w:color w:val="000000"/>
                <w:sz w:val="24"/>
                <w:szCs w:val="24"/>
              </w:rPr>
              <w:t>数据库维护</w:t>
            </w:r>
          </w:p>
        </w:tc>
        <w:tc>
          <w:tcPr>
            <w:tcW w:w="3811" w:type="pct"/>
            <w:tcBorders>
              <w:top w:val="single" w:color="auto" w:sz="4" w:space="0"/>
              <w:left w:val="single" w:color="auto" w:sz="4" w:space="0"/>
              <w:bottom w:val="single" w:color="auto" w:sz="4" w:space="0"/>
              <w:right w:val="single" w:color="auto" w:sz="4" w:space="0"/>
            </w:tcBorders>
            <w:vAlign w:val="center"/>
          </w:tcPr>
          <w:p w14:paraId="69EDA53E">
            <w:pPr>
              <w:pStyle w:val="2"/>
              <w:spacing w:line="360" w:lineRule="auto"/>
              <w:ind w:firstLine="0"/>
              <w:rPr>
                <w:rFonts w:hint="default" w:ascii="宋体" w:hAnsi="宋体" w:eastAsia="宋体" w:cs="宋体"/>
                <w:sz w:val="24"/>
                <w:szCs w:val="24"/>
              </w:rPr>
            </w:pPr>
            <w:r>
              <w:rPr>
                <w:rFonts w:ascii="宋体" w:hAnsi="宋体" w:eastAsia="宋体" w:cs="宋体"/>
                <w:sz w:val="24"/>
                <w:szCs w:val="24"/>
              </w:rPr>
              <w:t>数据库备份情况：每月查看数据库备份情况。</w:t>
            </w:r>
          </w:p>
        </w:tc>
      </w:tr>
      <w:tr w14:paraId="511B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76A00E8A">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755AAF0D">
            <w:pPr>
              <w:pStyle w:val="22"/>
              <w:jc w:val="center"/>
              <w:rPr>
                <w:rFonts w:ascii="宋体" w:hAnsi="宋体" w:cs="宋体"/>
                <w:color w:val="000000"/>
                <w:sz w:val="24"/>
                <w:szCs w:val="24"/>
              </w:rPr>
            </w:pPr>
          </w:p>
        </w:tc>
        <w:tc>
          <w:tcPr>
            <w:tcW w:w="3811" w:type="pct"/>
            <w:tcBorders>
              <w:top w:val="single" w:color="auto" w:sz="4" w:space="0"/>
              <w:left w:val="single" w:color="auto" w:sz="4" w:space="0"/>
              <w:bottom w:val="single" w:color="auto" w:sz="4" w:space="0"/>
              <w:right w:val="single" w:color="auto" w:sz="4" w:space="0"/>
            </w:tcBorders>
            <w:vAlign w:val="center"/>
          </w:tcPr>
          <w:p w14:paraId="32FA8DB8">
            <w:pPr>
              <w:pStyle w:val="2"/>
              <w:spacing w:line="360" w:lineRule="auto"/>
              <w:ind w:firstLine="0"/>
              <w:rPr>
                <w:rFonts w:hint="default" w:ascii="宋体" w:hAnsi="宋体" w:eastAsia="宋体" w:cs="宋体"/>
                <w:sz w:val="24"/>
                <w:szCs w:val="24"/>
              </w:rPr>
            </w:pPr>
            <w:r>
              <w:rPr>
                <w:rFonts w:ascii="宋体" w:hAnsi="宋体" w:eastAsia="宋体" w:cs="宋体"/>
                <w:sz w:val="24"/>
                <w:szCs w:val="24"/>
              </w:rPr>
              <w:t>数据库日志：每月定期查看与分析数据库日志，定期汇报数据库运行状况。</w:t>
            </w:r>
          </w:p>
        </w:tc>
      </w:tr>
      <w:tr w14:paraId="2DE6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2AD89175">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51510035">
            <w:pPr>
              <w:pStyle w:val="22"/>
              <w:jc w:val="center"/>
              <w:rPr>
                <w:rFonts w:ascii="宋体" w:hAnsi="宋体" w:cs="宋体"/>
                <w:color w:val="000000"/>
                <w:sz w:val="24"/>
                <w:szCs w:val="24"/>
              </w:rPr>
            </w:pPr>
          </w:p>
        </w:tc>
        <w:tc>
          <w:tcPr>
            <w:tcW w:w="3811" w:type="pct"/>
            <w:tcBorders>
              <w:top w:val="single" w:color="auto" w:sz="4" w:space="0"/>
              <w:left w:val="single" w:color="auto" w:sz="4" w:space="0"/>
              <w:bottom w:val="single" w:color="auto" w:sz="4" w:space="0"/>
              <w:right w:val="single" w:color="auto" w:sz="4" w:space="0"/>
            </w:tcBorders>
            <w:vAlign w:val="center"/>
          </w:tcPr>
          <w:p w14:paraId="2B81CEC4">
            <w:pPr>
              <w:pStyle w:val="2"/>
              <w:spacing w:line="360" w:lineRule="auto"/>
              <w:ind w:firstLine="0"/>
              <w:rPr>
                <w:rFonts w:hint="default" w:ascii="宋体" w:hAnsi="宋体" w:eastAsia="宋体" w:cs="宋体"/>
                <w:sz w:val="24"/>
                <w:szCs w:val="24"/>
              </w:rPr>
            </w:pPr>
            <w:r>
              <w:rPr>
                <w:rFonts w:ascii="宋体" w:hAnsi="宋体" w:eastAsia="宋体" w:cs="宋体"/>
                <w:sz w:val="24"/>
                <w:szCs w:val="24"/>
              </w:rPr>
              <w:t>数据库表占用空间情况：要求数据库表占用空间不超过90％。</w:t>
            </w:r>
          </w:p>
        </w:tc>
      </w:tr>
      <w:tr w14:paraId="739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Merge w:val="continue"/>
            <w:vAlign w:val="center"/>
          </w:tcPr>
          <w:p w14:paraId="6C0FFF5C">
            <w:pPr>
              <w:pStyle w:val="2"/>
              <w:ind w:firstLine="0"/>
              <w:jc w:val="center"/>
              <w:rPr>
                <w:rFonts w:hint="default" w:ascii="宋体" w:hAnsi="宋体" w:eastAsia="宋体" w:cs="宋体"/>
                <w:kern w:val="0"/>
                <w:sz w:val="24"/>
                <w:szCs w:val="24"/>
                <w:lang w:bidi="ar"/>
              </w:rPr>
            </w:pPr>
          </w:p>
        </w:tc>
        <w:tc>
          <w:tcPr>
            <w:tcW w:w="735" w:type="pct"/>
            <w:vMerge w:val="continue"/>
            <w:vAlign w:val="center"/>
          </w:tcPr>
          <w:p w14:paraId="3CC44D01">
            <w:pPr>
              <w:pStyle w:val="22"/>
              <w:jc w:val="center"/>
              <w:rPr>
                <w:rFonts w:ascii="宋体" w:hAnsi="宋体" w:cs="宋体"/>
                <w:color w:val="000000"/>
                <w:sz w:val="24"/>
                <w:szCs w:val="24"/>
              </w:rPr>
            </w:pPr>
          </w:p>
        </w:tc>
        <w:tc>
          <w:tcPr>
            <w:tcW w:w="3811" w:type="pct"/>
            <w:tcBorders>
              <w:top w:val="single" w:color="auto" w:sz="4" w:space="0"/>
              <w:left w:val="single" w:color="auto" w:sz="4" w:space="0"/>
              <w:bottom w:val="single" w:color="auto" w:sz="4" w:space="0"/>
              <w:right w:val="single" w:color="auto" w:sz="4" w:space="0"/>
            </w:tcBorders>
            <w:vAlign w:val="center"/>
          </w:tcPr>
          <w:p w14:paraId="51CAFE72">
            <w:pPr>
              <w:pStyle w:val="2"/>
              <w:spacing w:line="360" w:lineRule="auto"/>
              <w:ind w:firstLine="0"/>
              <w:rPr>
                <w:rFonts w:hint="default" w:ascii="宋体" w:hAnsi="宋体" w:eastAsia="宋体" w:cs="宋体"/>
                <w:sz w:val="24"/>
                <w:szCs w:val="24"/>
              </w:rPr>
            </w:pPr>
            <w:r>
              <w:rPr>
                <w:rFonts w:ascii="宋体" w:hAnsi="宋体" w:eastAsia="宋体" w:cs="宋体"/>
                <w:sz w:val="24"/>
                <w:szCs w:val="24"/>
              </w:rPr>
              <w:t>表空间使用情况：查看数据库资源，检查表空间是否写满。</w:t>
            </w:r>
          </w:p>
        </w:tc>
      </w:tr>
    </w:tbl>
    <w:p w14:paraId="64AAF095">
      <w:pPr>
        <w:pStyle w:val="2"/>
        <w:spacing w:line="360" w:lineRule="auto"/>
        <w:ind w:firstLine="0"/>
        <w:rPr>
          <w:rFonts w:hint="default" w:ascii="宋体" w:hAnsi="宋体" w:eastAsia="宋体"/>
          <w:b/>
          <w:sz w:val="24"/>
          <w:szCs w:val="24"/>
        </w:rPr>
      </w:pPr>
    </w:p>
    <w:p w14:paraId="36ED76ED">
      <w:pPr>
        <w:pStyle w:val="2"/>
        <w:numPr>
          <w:ilvl w:val="0"/>
          <w:numId w:val="2"/>
        </w:numPr>
        <w:spacing w:line="360" w:lineRule="auto"/>
        <w:rPr>
          <w:rFonts w:hint="default" w:ascii="宋体" w:hAnsi="宋体" w:eastAsia="宋体"/>
          <w:b/>
          <w:sz w:val="24"/>
          <w:szCs w:val="24"/>
        </w:rPr>
      </w:pPr>
      <w:r>
        <w:rPr>
          <w:rFonts w:ascii="宋体" w:hAnsi="宋体" w:eastAsia="宋体"/>
          <w:b/>
          <w:sz w:val="24"/>
          <w:szCs w:val="24"/>
        </w:rPr>
        <w:t>交货及培训</w:t>
      </w:r>
    </w:p>
    <w:tbl>
      <w:tblPr>
        <w:tblStyle w:val="14"/>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814"/>
        <w:gridCol w:w="1417"/>
        <w:gridCol w:w="6850"/>
      </w:tblGrid>
      <w:tr w14:paraId="0CEB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02" w:hRule="atLeast"/>
          <w:jc w:val="center"/>
        </w:trPr>
        <w:tc>
          <w:tcPr>
            <w:tcW w:w="814" w:type="dxa"/>
            <w:vAlign w:val="center"/>
          </w:tcPr>
          <w:p w14:paraId="4EF83AD0">
            <w:pPr>
              <w:pStyle w:val="2"/>
              <w:ind w:firstLine="0"/>
              <w:jc w:val="center"/>
              <w:rPr>
                <w:rFonts w:hint="default" w:ascii="宋体" w:hAnsi="宋体" w:eastAsia="宋体"/>
                <w:bCs/>
                <w:sz w:val="24"/>
                <w:szCs w:val="24"/>
              </w:rPr>
            </w:pPr>
            <w:r>
              <w:rPr>
                <w:rFonts w:ascii="宋体" w:hAnsi="宋体" w:eastAsia="宋体" w:cs="微软雅黑"/>
                <w:bCs/>
                <w:sz w:val="24"/>
                <w:szCs w:val="24"/>
              </w:rPr>
              <w:t>序号</w:t>
            </w:r>
          </w:p>
        </w:tc>
        <w:tc>
          <w:tcPr>
            <w:tcW w:w="8267" w:type="dxa"/>
            <w:gridSpan w:val="2"/>
          </w:tcPr>
          <w:p w14:paraId="23F519CD">
            <w:pPr>
              <w:pStyle w:val="2"/>
              <w:ind w:firstLine="0"/>
              <w:jc w:val="center"/>
              <w:rPr>
                <w:rFonts w:hint="default" w:ascii="宋体" w:hAnsi="宋体" w:eastAsia="宋体"/>
                <w:bCs/>
                <w:sz w:val="24"/>
                <w:szCs w:val="24"/>
              </w:rPr>
            </w:pPr>
            <w:r>
              <w:rPr>
                <w:rFonts w:ascii="宋体" w:hAnsi="宋体" w:eastAsia="宋体" w:cs="微软雅黑"/>
                <w:bCs/>
                <w:sz w:val="24"/>
                <w:szCs w:val="24"/>
              </w:rPr>
              <w:t>交货及培训要求</w:t>
            </w:r>
          </w:p>
        </w:tc>
      </w:tr>
      <w:tr w14:paraId="403C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67" w:hRule="atLeast"/>
          <w:jc w:val="center"/>
        </w:trPr>
        <w:tc>
          <w:tcPr>
            <w:tcW w:w="814" w:type="dxa"/>
            <w:vAlign w:val="center"/>
          </w:tcPr>
          <w:p w14:paraId="4531343F">
            <w:pPr>
              <w:pStyle w:val="2"/>
              <w:spacing w:line="360" w:lineRule="auto"/>
              <w:ind w:firstLine="0"/>
              <w:jc w:val="center"/>
              <w:rPr>
                <w:rFonts w:hint="default" w:ascii="宋体" w:hAnsi="宋体" w:eastAsia="宋体"/>
                <w:sz w:val="24"/>
                <w:szCs w:val="24"/>
              </w:rPr>
            </w:pPr>
            <w:r>
              <w:rPr>
                <w:rFonts w:ascii="宋体" w:hAnsi="宋体" w:eastAsia="宋体"/>
                <w:sz w:val="24"/>
                <w:szCs w:val="24"/>
              </w:rPr>
              <w:t>1</w:t>
            </w:r>
          </w:p>
        </w:tc>
        <w:tc>
          <w:tcPr>
            <w:tcW w:w="1417" w:type="dxa"/>
            <w:vAlign w:val="center"/>
          </w:tcPr>
          <w:p w14:paraId="0BAE2F1B">
            <w:pPr>
              <w:pStyle w:val="2"/>
              <w:spacing w:line="360" w:lineRule="auto"/>
              <w:ind w:firstLine="0"/>
              <w:jc w:val="center"/>
              <w:rPr>
                <w:rFonts w:hint="default" w:ascii="宋体" w:hAnsi="宋体" w:eastAsia="宋体"/>
                <w:sz w:val="24"/>
                <w:szCs w:val="24"/>
              </w:rPr>
            </w:pPr>
            <w:r>
              <w:rPr>
                <w:rFonts w:ascii="宋体" w:hAnsi="宋体" w:eastAsia="宋体"/>
                <w:sz w:val="24"/>
                <w:szCs w:val="24"/>
              </w:rPr>
              <w:t>交货期</w:t>
            </w:r>
          </w:p>
        </w:tc>
        <w:tc>
          <w:tcPr>
            <w:tcW w:w="6850" w:type="dxa"/>
            <w:vAlign w:val="center"/>
          </w:tcPr>
          <w:p w14:paraId="3451C699">
            <w:pPr>
              <w:rPr>
                <w:rFonts w:hint="default" w:ascii="宋体" w:hAnsi="宋体" w:eastAsia="宋体"/>
                <w:sz w:val="24"/>
                <w:szCs w:val="24"/>
              </w:rPr>
            </w:pPr>
            <w:r>
              <w:rPr>
                <w:rFonts w:ascii="宋体" w:hAnsi="宋体" w:eastAsia="宋体"/>
                <w:sz w:val="24"/>
                <w:szCs w:val="24"/>
              </w:rPr>
              <w:t>交付期限为自合同签订之日起30个工作日。</w:t>
            </w:r>
          </w:p>
        </w:tc>
      </w:tr>
      <w:tr w14:paraId="3BD6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814" w:type="dxa"/>
            <w:vAlign w:val="center"/>
          </w:tcPr>
          <w:p w14:paraId="70E1063E">
            <w:pPr>
              <w:pStyle w:val="2"/>
              <w:spacing w:line="360" w:lineRule="auto"/>
              <w:ind w:firstLine="0"/>
              <w:jc w:val="center"/>
              <w:rPr>
                <w:rFonts w:hint="default" w:ascii="宋体" w:hAnsi="宋体" w:eastAsia="宋体"/>
                <w:sz w:val="24"/>
                <w:szCs w:val="24"/>
              </w:rPr>
            </w:pPr>
            <w:r>
              <w:rPr>
                <w:rFonts w:ascii="宋体" w:hAnsi="宋体" w:eastAsia="宋体"/>
                <w:sz w:val="24"/>
                <w:szCs w:val="24"/>
              </w:rPr>
              <w:t>2</w:t>
            </w:r>
          </w:p>
        </w:tc>
        <w:tc>
          <w:tcPr>
            <w:tcW w:w="1417" w:type="dxa"/>
            <w:vAlign w:val="center"/>
          </w:tcPr>
          <w:p w14:paraId="03B97F66">
            <w:pPr>
              <w:pStyle w:val="2"/>
              <w:spacing w:line="360" w:lineRule="auto"/>
              <w:ind w:firstLine="0"/>
              <w:jc w:val="center"/>
              <w:rPr>
                <w:rFonts w:hint="default" w:ascii="宋体" w:hAnsi="宋体" w:eastAsia="宋体"/>
                <w:sz w:val="24"/>
                <w:szCs w:val="24"/>
              </w:rPr>
            </w:pPr>
            <w:r>
              <w:rPr>
                <w:rFonts w:ascii="宋体" w:hAnsi="宋体" w:eastAsia="宋体"/>
                <w:sz w:val="24"/>
                <w:szCs w:val="24"/>
              </w:rPr>
              <w:t>验收要求</w:t>
            </w:r>
          </w:p>
        </w:tc>
        <w:tc>
          <w:tcPr>
            <w:tcW w:w="6850" w:type="dxa"/>
          </w:tcPr>
          <w:p w14:paraId="7E591DBB">
            <w:pPr>
              <w:widowControl/>
              <w:spacing w:line="360" w:lineRule="auto"/>
              <w:jc w:val="left"/>
              <w:rPr>
                <w:rFonts w:hint="default" w:ascii="宋体" w:hAnsi="宋体" w:eastAsia="宋体"/>
                <w:sz w:val="24"/>
                <w:szCs w:val="24"/>
              </w:rPr>
            </w:pPr>
            <w:r>
              <w:rPr>
                <w:rFonts w:ascii="宋体" w:hAnsi="宋体" w:eastAsia="宋体" w:cs="微软雅黑"/>
                <w:sz w:val="24"/>
                <w:szCs w:val="24"/>
              </w:rPr>
              <w:t>系统交付上线试运行稳定2</w:t>
            </w:r>
            <w:r>
              <w:rPr>
                <w:rFonts w:hint="default" w:ascii="宋体" w:hAnsi="宋体" w:eastAsia="宋体" w:cs="微软雅黑"/>
                <w:sz w:val="24"/>
                <w:szCs w:val="24"/>
              </w:rPr>
              <w:t>0</w:t>
            </w:r>
            <w:r>
              <w:rPr>
                <w:rFonts w:ascii="宋体" w:hAnsi="宋体" w:eastAsia="宋体" w:cs="微软雅黑"/>
                <w:sz w:val="24"/>
                <w:szCs w:val="24"/>
              </w:rPr>
              <w:t>日后可申请验收。验收由上海外国语大学授权代表负责验收</w:t>
            </w:r>
            <w:r>
              <w:rPr>
                <w:rFonts w:ascii="宋体" w:hAnsi="宋体" w:eastAsia="宋体" w:cs="Malgun Gothic Semilight"/>
                <w:sz w:val="24"/>
                <w:szCs w:val="24"/>
              </w:rPr>
              <w:t>。</w:t>
            </w:r>
            <w:r>
              <w:rPr>
                <w:rFonts w:ascii="宋体" w:hAnsi="宋体" w:eastAsia="宋体" w:cs="微软雅黑"/>
                <w:sz w:val="24"/>
                <w:szCs w:val="24"/>
              </w:rPr>
              <w:t>验收依据国家有关规范</w:t>
            </w:r>
            <w:r>
              <w:rPr>
                <w:rFonts w:ascii="宋体" w:hAnsi="宋体" w:eastAsia="宋体" w:cs="Malgun Gothic Semilight"/>
                <w:sz w:val="24"/>
                <w:szCs w:val="24"/>
              </w:rPr>
              <w:t>、</w:t>
            </w:r>
            <w:r>
              <w:rPr>
                <w:rFonts w:ascii="宋体" w:hAnsi="宋体" w:eastAsia="宋体" w:cs="微软雅黑"/>
                <w:sz w:val="24"/>
                <w:szCs w:val="24"/>
              </w:rPr>
              <w:t>招标文件</w:t>
            </w:r>
            <w:r>
              <w:rPr>
                <w:rFonts w:ascii="宋体" w:hAnsi="宋体" w:eastAsia="宋体" w:cs="Malgun Gothic Semilight"/>
                <w:sz w:val="24"/>
                <w:szCs w:val="24"/>
              </w:rPr>
              <w:t>、</w:t>
            </w:r>
            <w:r>
              <w:rPr>
                <w:rFonts w:ascii="宋体" w:hAnsi="宋体" w:eastAsia="宋体" w:cs="微软雅黑"/>
                <w:sz w:val="24"/>
                <w:szCs w:val="24"/>
              </w:rPr>
              <w:t>投标文件和项目有关文件</w:t>
            </w:r>
            <w:r>
              <w:rPr>
                <w:rFonts w:ascii="宋体" w:hAnsi="宋体" w:eastAsia="宋体" w:cs="Malgun Gothic Semilight"/>
                <w:sz w:val="24"/>
                <w:szCs w:val="24"/>
              </w:rPr>
              <w:t>。</w:t>
            </w:r>
            <w:r>
              <w:rPr>
                <w:rFonts w:ascii="宋体" w:hAnsi="宋体" w:eastAsia="宋体" w:cs="微软雅黑"/>
                <w:sz w:val="24"/>
                <w:szCs w:val="24"/>
              </w:rPr>
              <w:t>验收若发现质量问题</w:t>
            </w:r>
            <w:r>
              <w:rPr>
                <w:rFonts w:ascii="宋体" w:hAnsi="宋体" w:eastAsia="宋体" w:cs="Malgun Gothic Semilight"/>
                <w:sz w:val="24"/>
                <w:szCs w:val="24"/>
              </w:rPr>
              <w:t>，</w:t>
            </w:r>
            <w:r>
              <w:rPr>
                <w:rFonts w:ascii="宋体" w:hAnsi="宋体" w:eastAsia="宋体" w:cs="微软雅黑"/>
                <w:sz w:val="24"/>
                <w:szCs w:val="24"/>
              </w:rPr>
              <w:t>或者不达标项目</w:t>
            </w:r>
            <w:r>
              <w:rPr>
                <w:rFonts w:ascii="宋体" w:hAnsi="宋体" w:eastAsia="宋体" w:cs="Malgun Gothic Semilight"/>
                <w:sz w:val="24"/>
                <w:szCs w:val="24"/>
              </w:rPr>
              <w:t>，</w:t>
            </w:r>
            <w:r>
              <w:rPr>
                <w:rFonts w:ascii="宋体" w:hAnsi="宋体" w:eastAsia="宋体" w:cs="微软雅黑"/>
                <w:sz w:val="24"/>
                <w:szCs w:val="24"/>
              </w:rPr>
              <w:t>中标方须无条件整改至符合验收要求</w:t>
            </w:r>
            <w:r>
              <w:rPr>
                <w:rFonts w:ascii="宋体" w:hAnsi="宋体" w:eastAsia="宋体" w:cs="Malgun Gothic Semilight"/>
                <w:sz w:val="24"/>
                <w:szCs w:val="24"/>
              </w:rPr>
              <w:t>。</w:t>
            </w:r>
            <w:r>
              <w:rPr>
                <w:rFonts w:ascii="宋体" w:hAnsi="宋体" w:eastAsia="宋体" w:cs="微软雅黑"/>
                <w:sz w:val="24"/>
                <w:szCs w:val="24"/>
              </w:rPr>
              <w:t>整改过程产生新增</w:t>
            </w:r>
            <w:r>
              <w:rPr>
                <w:rFonts w:ascii="宋体" w:hAnsi="宋体" w:eastAsia="宋体" w:cs="Malgun Gothic Semilight"/>
                <w:sz w:val="24"/>
                <w:szCs w:val="24"/>
              </w:rPr>
              <w:t>、</w:t>
            </w:r>
            <w:r>
              <w:rPr>
                <w:rFonts w:ascii="宋体" w:hAnsi="宋体" w:eastAsia="宋体" w:cs="微软雅黑"/>
                <w:sz w:val="24"/>
                <w:szCs w:val="24"/>
              </w:rPr>
              <w:t>更改或产生其他费用</w:t>
            </w:r>
            <w:r>
              <w:rPr>
                <w:rFonts w:ascii="宋体" w:hAnsi="宋体" w:eastAsia="宋体" w:cs="Malgun Gothic Semilight"/>
                <w:sz w:val="24"/>
                <w:szCs w:val="24"/>
              </w:rPr>
              <w:t>，</w:t>
            </w:r>
            <w:r>
              <w:rPr>
                <w:rFonts w:ascii="宋体" w:hAnsi="宋体" w:eastAsia="宋体" w:cs="微软雅黑"/>
                <w:sz w:val="24"/>
                <w:szCs w:val="24"/>
              </w:rPr>
              <w:t>均由中标方自行承担</w:t>
            </w:r>
            <w:r>
              <w:rPr>
                <w:rFonts w:ascii="宋体" w:hAnsi="宋体" w:eastAsia="宋体" w:cs="Malgun Gothic Semilight"/>
                <w:sz w:val="24"/>
                <w:szCs w:val="24"/>
              </w:rPr>
              <w:t>；</w:t>
            </w:r>
            <w:r>
              <w:rPr>
                <w:rFonts w:ascii="宋体" w:hAnsi="宋体" w:eastAsia="宋体" w:cs="微软雅黑"/>
                <w:sz w:val="24"/>
                <w:szCs w:val="24"/>
              </w:rPr>
              <w:t>若验收过程产生其他费用</w:t>
            </w:r>
            <w:r>
              <w:rPr>
                <w:rFonts w:ascii="宋体" w:hAnsi="宋体" w:eastAsia="宋体" w:cs="Malgun Gothic Semilight"/>
                <w:sz w:val="24"/>
                <w:szCs w:val="24"/>
              </w:rPr>
              <w:t>，</w:t>
            </w:r>
            <w:r>
              <w:rPr>
                <w:rFonts w:ascii="宋体" w:hAnsi="宋体" w:eastAsia="宋体" w:cs="微软雅黑"/>
                <w:sz w:val="24"/>
                <w:szCs w:val="24"/>
              </w:rPr>
              <w:t>由中标方负责承担</w:t>
            </w:r>
            <w:r>
              <w:rPr>
                <w:rFonts w:ascii="宋体" w:hAnsi="宋体" w:eastAsia="宋体" w:cs="Malgun Gothic Semilight"/>
                <w:sz w:val="24"/>
                <w:szCs w:val="24"/>
              </w:rPr>
              <w:t>。</w:t>
            </w:r>
          </w:p>
        </w:tc>
      </w:tr>
      <w:tr w14:paraId="7C78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7" w:hRule="atLeast"/>
          <w:jc w:val="center"/>
        </w:trPr>
        <w:tc>
          <w:tcPr>
            <w:tcW w:w="814" w:type="dxa"/>
            <w:vAlign w:val="center"/>
          </w:tcPr>
          <w:p w14:paraId="2DF3C96E">
            <w:pPr>
              <w:pStyle w:val="2"/>
              <w:spacing w:line="360" w:lineRule="auto"/>
              <w:ind w:firstLine="0"/>
              <w:jc w:val="center"/>
              <w:rPr>
                <w:rFonts w:hint="default" w:ascii="宋体" w:hAnsi="宋体" w:eastAsia="宋体"/>
                <w:sz w:val="24"/>
                <w:szCs w:val="24"/>
              </w:rPr>
            </w:pPr>
            <w:r>
              <w:rPr>
                <w:rFonts w:ascii="宋体" w:hAnsi="宋体" w:eastAsia="宋体"/>
                <w:sz w:val="24"/>
                <w:szCs w:val="24"/>
              </w:rPr>
              <w:t>3</w:t>
            </w:r>
          </w:p>
        </w:tc>
        <w:tc>
          <w:tcPr>
            <w:tcW w:w="1417" w:type="dxa"/>
            <w:vAlign w:val="center"/>
          </w:tcPr>
          <w:p w14:paraId="7C835421">
            <w:pPr>
              <w:pStyle w:val="2"/>
              <w:spacing w:line="360" w:lineRule="auto"/>
              <w:ind w:firstLine="0"/>
              <w:jc w:val="center"/>
              <w:rPr>
                <w:rFonts w:hint="default" w:ascii="宋体" w:hAnsi="宋体" w:eastAsia="宋体"/>
                <w:sz w:val="24"/>
                <w:szCs w:val="24"/>
              </w:rPr>
            </w:pPr>
            <w:r>
              <w:rPr>
                <w:rFonts w:ascii="宋体" w:hAnsi="宋体" w:eastAsia="宋体"/>
                <w:sz w:val="24"/>
                <w:szCs w:val="24"/>
              </w:rPr>
              <w:t>用户培训</w:t>
            </w:r>
          </w:p>
        </w:tc>
        <w:tc>
          <w:tcPr>
            <w:tcW w:w="6850" w:type="dxa"/>
          </w:tcPr>
          <w:p w14:paraId="553F67A7">
            <w:pPr>
              <w:widowControl/>
              <w:spacing w:line="360" w:lineRule="auto"/>
              <w:jc w:val="left"/>
              <w:rPr>
                <w:rFonts w:hint="default" w:ascii="宋体" w:hAnsi="宋体" w:eastAsia="宋体"/>
                <w:sz w:val="24"/>
                <w:szCs w:val="24"/>
              </w:rPr>
            </w:pPr>
            <w:r>
              <w:rPr>
                <w:rFonts w:ascii="宋体" w:hAnsi="宋体" w:eastAsia="宋体"/>
                <w:sz w:val="24"/>
                <w:szCs w:val="24"/>
              </w:rPr>
              <w:t>如校方有需要，中标方须配合上海外国语大学组织全体用户培训以及全体管理员培训。合同期内系统更新升级或者增加功能时，如校方有需要，中标方须组织适当范围的培训。</w:t>
            </w:r>
          </w:p>
        </w:tc>
      </w:tr>
    </w:tbl>
    <w:p w14:paraId="3120276E">
      <w:pPr>
        <w:spacing w:line="360" w:lineRule="auto"/>
        <w:rPr>
          <w:rFonts w:hint="default" w:ascii="宋体" w:hAnsi="宋体" w:eastAsia="宋体"/>
          <w:b/>
          <w:sz w:val="24"/>
          <w:szCs w:val="24"/>
        </w:rPr>
      </w:pPr>
    </w:p>
    <w:p w14:paraId="3995751D">
      <w:pPr>
        <w:pStyle w:val="2"/>
        <w:numPr>
          <w:ilvl w:val="0"/>
          <w:numId w:val="2"/>
        </w:numPr>
        <w:spacing w:line="360" w:lineRule="auto"/>
        <w:rPr>
          <w:rFonts w:hint="default" w:ascii="宋体" w:hAnsi="宋体" w:eastAsia="宋体"/>
          <w:b/>
          <w:sz w:val="24"/>
          <w:szCs w:val="24"/>
        </w:rPr>
      </w:pPr>
      <w:r>
        <w:rPr>
          <w:rFonts w:ascii="宋体" w:hAnsi="宋体" w:eastAsia="宋体"/>
          <w:b/>
          <w:sz w:val="24"/>
          <w:szCs w:val="24"/>
        </w:rPr>
        <w:t>支付及报价要求</w:t>
      </w:r>
    </w:p>
    <w:tbl>
      <w:tblPr>
        <w:tblStyle w:val="24"/>
        <w:tblW w:w="92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46"/>
        <w:gridCol w:w="8363"/>
      </w:tblGrid>
      <w:tr w14:paraId="052F07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A9E52">
            <w:pPr>
              <w:jc w:val="center"/>
              <w:rPr>
                <w:rFonts w:hint="default" w:ascii="宋体" w:hAnsi="宋体" w:eastAsia="宋体"/>
                <w:kern w:val="0"/>
                <w:sz w:val="24"/>
                <w:szCs w:val="24"/>
              </w:rPr>
            </w:pPr>
            <w:r>
              <w:rPr>
                <w:rFonts w:ascii="宋体" w:hAnsi="宋体" w:eastAsia="宋体"/>
                <w:kern w:val="0"/>
                <w:sz w:val="24"/>
                <w:szCs w:val="24"/>
              </w:rPr>
              <w:t>序号</w:t>
            </w:r>
          </w:p>
        </w:tc>
        <w:tc>
          <w:tcPr>
            <w:tcW w:w="8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587FE3">
            <w:pPr>
              <w:jc w:val="center"/>
              <w:rPr>
                <w:rFonts w:hint="default" w:ascii="宋体" w:hAnsi="宋体" w:eastAsia="宋体"/>
                <w:kern w:val="0"/>
                <w:sz w:val="24"/>
                <w:szCs w:val="24"/>
              </w:rPr>
            </w:pPr>
            <w:r>
              <w:rPr>
                <w:rFonts w:ascii="宋体" w:hAnsi="宋体" w:eastAsia="宋体"/>
                <w:kern w:val="0"/>
                <w:sz w:val="24"/>
                <w:szCs w:val="24"/>
              </w:rPr>
              <w:t>要求内容</w:t>
            </w:r>
          </w:p>
        </w:tc>
      </w:tr>
      <w:tr w14:paraId="09EF14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8"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1B37F">
            <w:pPr>
              <w:jc w:val="center"/>
              <w:rPr>
                <w:rFonts w:hint="default" w:ascii="宋体" w:hAnsi="宋体" w:eastAsia="宋体"/>
                <w:kern w:val="0"/>
                <w:sz w:val="24"/>
                <w:szCs w:val="24"/>
              </w:rPr>
            </w:pPr>
            <w:r>
              <w:rPr>
                <w:rFonts w:ascii="宋体" w:hAnsi="宋体" w:eastAsia="宋体"/>
                <w:kern w:val="0"/>
                <w:sz w:val="24"/>
                <w:szCs w:val="24"/>
              </w:rPr>
              <w:t>1</w:t>
            </w:r>
          </w:p>
        </w:tc>
        <w:tc>
          <w:tcPr>
            <w:tcW w:w="8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FF962">
            <w:pPr>
              <w:rPr>
                <w:rFonts w:hint="default" w:ascii="宋体" w:hAnsi="宋体" w:eastAsia="宋体"/>
                <w:kern w:val="0"/>
                <w:sz w:val="24"/>
                <w:szCs w:val="24"/>
              </w:rPr>
            </w:pPr>
            <w:r>
              <w:rPr>
                <w:rFonts w:hint="default" w:ascii="宋体" w:hAnsi="宋体" w:eastAsia="宋体"/>
                <w:kern w:val="0"/>
                <w:sz w:val="24"/>
                <w:szCs w:val="24"/>
              </w:rPr>
              <w:t>支付价款时需开具合法有效发票。中标单位在签署合同时，须按照招标方的合同模板要求订立合同。</w:t>
            </w:r>
          </w:p>
        </w:tc>
      </w:tr>
      <w:tr w14:paraId="731560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8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EB6109">
            <w:pPr>
              <w:jc w:val="center"/>
              <w:rPr>
                <w:rFonts w:hint="default" w:ascii="宋体" w:hAnsi="宋体" w:eastAsia="宋体"/>
                <w:kern w:val="0"/>
                <w:sz w:val="24"/>
                <w:szCs w:val="24"/>
              </w:rPr>
            </w:pPr>
            <w:r>
              <w:rPr>
                <w:rFonts w:ascii="宋体" w:hAnsi="宋体" w:eastAsia="宋体"/>
                <w:kern w:val="0"/>
                <w:sz w:val="24"/>
                <w:szCs w:val="24"/>
              </w:rPr>
              <w:t>2</w:t>
            </w:r>
          </w:p>
        </w:tc>
        <w:tc>
          <w:tcPr>
            <w:tcW w:w="8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F6688A">
            <w:pPr>
              <w:rPr>
                <w:rFonts w:hint="default" w:ascii="宋体" w:hAnsi="宋体" w:eastAsia="宋体"/>
                <w:kern w:val="0"/>
                <w:sz w:val="24"/>
                <w:szCs w:val="24"/>
              </w:rPr>
            </w:pPr>
            <w:r>
              <w:rPr>
                <w:rFonts w:ascii="宋体" w:hAnsi="宋体" w:eastAsia="宋体"/>
                <w:kern w:val="0"/>
                <w:sz w:val="24"/>
                <w:szCs w:val="24"/>
              </w:rPr>
              <w:t>报价要求</w:t>
            </w:r>
            <w:r>
              <w:rPr>
                <w:rFonts w:hint="default" w:ascii="宋体" w:hAnsi="宋体" w:eastAsia="宋体"/>
                <w:kern w:val="0"/>
                <w:sz w:val="24"/>
                <w:szCs w:val="24"/>
              </w:rPr>
              <w:t>：</w:t>
            </w:r>
            <w:r>
              <w:rPr>
                <w:rFonts w:ascii="宋体" w:hAnsi="宋体" w:eastAsia="宋体"/>
                <w:kern w:val="0"/>
                <w:sz w:val="24"/>
                <w:szCs w:val="24"/>
                <w:lang w:val="zh-CN"/>
              </w:rPr>
              <w:t>价格部分是对货物、服务和工程价格构成的说明，磋商文件如没有特别说明的话，对每一项货物、服务和工程仅接受一个价格</w:t>
            </w:r>
            <w:r>
              <w:rPr>
                <w:rFonts w:hint="default" w:ascii="宋体" w:hAnsi="宋体" w:eastAsia="宋体"/>
                <w:kern w:val="0"/>
                <w:sz w:val="24"/>
                <w:szCs w:val="24"/>
              </w:rPr>
              <w:t>。</w:t>
            </w:r>
          </w:p>
        </w:tc>
      </w:tr>
      <w:tr w14:paraId="3BAC21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8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377E7">
            <w:pPr>
              <w:jc w:val="center"/>
              <w:rPr>
                <w:rFonts w:hint="default" w:ascii="宋体" w:hAnsi="宋体" w:eastAsia="宋体"/>
                <w:kern w:val="0"/>
                <w:sz w:val="24"/>
                <w:szCs w:val="24"/>
              </w:rPr>
            </w:pPr>
            <w:r>
              <w:rPr>
                <w:rFonts w:ascii="宋体" w:hAnsi="宋体" w:eastAsia="宋体"/>
                <w:kern w:val="0"/>
                <w:sz w:val="24"/>
                <w:szCs w:val="24"/>
              </w:rPr>
              <w:t>3</w:t>
            </w:r>
          </w:p>
        </w:tc>
        <w:tc>
          <w:tcPr>
            <w:tcW w:w="8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BA7AB">
            <w:pPr>
              <w:rPr>
                <w:rFonts w:hint="default" w:ascii="宋体" w:hAnsi="宋体" w:eastAsia="宋体"/>
                <w:kern w:val="0"/>
                <w:sz w:val="24"/>
                <w:szCs w:val="24"/>
              </w:rPr>
            </w:pPr>
            <w:r>
              <w:rPr>
                <w:rFonts w:ascii="宋体" w:hAnsi="宋体" w:eastAsia="宋体"/>
                <w:kern w:val="0"/>
                <w:sz w:val="24"/>
                <w:szCs w:val="24"/>
                <w:lang w:val="zh-CN"/>
              </w:rPr>
              <w:t>报价应包含完成本货物、服务和工程项目发生的所有含税费用、支付给员工的工资和国家强制缴纳的各种社会保障资金，以及供应商认为需要的其他费用等。</w:t>
            </w:r>
          </w:p>
        </w:tc>
      </w:tr>
      <w:tr w14:paraId="7FB43C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8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5E960">
            <w:pPr>
              <w:jc w:val="center"/>
              <w:rPr>
                <w:rFonts w:hint="default" w:ascii="宋体" w:hAnsi="宋体" w:eastAsia="宋体"/>
                <w:kern w:val="0"/>
                <w:sz w:val="24"/>
                <w:szCs w:val="24"/>
              </w:rPr>
            </w:pPr>
            <w:r>
              <w:rPr>
                <w:rFonts w:hint="default" w:ascii="宋体" w:hAnsi="宋体" w:eastAsia="宋体"/>
                <w:kern w:val="0"/>
                <w:sz w:val="24"/>
                <w:szCs w:val="24"/>
              </w:rPr>
              <w:t>4</w:t>
            </w:r>
          </w:p>
        </w:tc>
        <w:tc>
          <w:tcPr>
            <w:tcW w:w="8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56EB62">
            <w:pPr>
              <w:spacing w:line="360" w:lineRule="auto"/>
              <w:rPr>
                <w:rFonts w:hint="default" w:ascii="宋体" w:hAnsi="宋体" w:eastAsia="宋体" w:cs="宋体"/>
                <w:kern w:val="0"/>
                <w:sz w:val="24"/>
                <w:szCs w:val="24"/>
              </w:rPr>
            </w:pPr>
            <w:r>
              <w:rPr>
                <w:rFonts w:ascii="宋体" w:hAnsi="宋体" w:eastAsia="宋体" w:cs="宋体"/>
                <w:kern w:val="0"/>
                <w:sz w:val="24"/>
                <w:szCs w:val="24"/>
              </w:rPr>
              <w:t>付款方式：</w:t>
            </w:r>
          </w:p>
          <w:p w14:paraId="0E0144E1">
            <w:pPr>
              <w:spacing w:line="360" w:lineRule="auto"/>
              <w:rPr>
                <w:rFonts w:hint="default" w:ascii="宋体" w:hAnsi="宋体" w:eastAsia="宋体" w:cs="宋体"/>
                <w:kern w:val="0"/>
                <w:sz w:val="24"/>
                <w:szCs w:val="24"/>
              </w:rPr>
            </w:pPr>
            <w:r>
              <w:rPr>
                <w:rFonts w:hint="default" w:ascii="宋体" w:hAnsi="宋体" w:eastAsia="宋体" w:cs="宋体"/>
                <w:kern w:val="0"/>
                <w:sz w:val="24"/>
                <w:szCs w:val="24"/>
              </w:rPr>
              <w:t>第一期付款:该笔款为合同总价款的50%(百分之伍拾)，合同生效之日起15(拾伍)个工作日内甲方向乙方支付。</w:t>
            </w:r>
          </w:p>
          <w:p w14:paraId="02BF137D">
            <w:pPr>
              <w:spacing w:line="360" w:lineRule="auto"/>
              <w:rPr>
                <w:rFonts w:hint="default" w:ascii="宋体" w:hAnsi="宋体" w:eastAsia="宋体" w:cs="宋体"/>
                <w:kern w:val="0"/>
                <w:sz w:val="24"/>
                <w:szCs w:val="24"/>
              </w:rPr>
            </w:pPr>
            <w:r>
              <w:rPr>
                <w:rFonts w:hint="default" w:ascii="宋体" w:hAnsi="宋体" w:eastAsia="宋体" w:cs="宋体"/>
                <w:kern w:val="0"/>
                <w:sz w:val="24"/>
                <w:szCs w:val="24"/>
              </w:rPr>
              <w:t>第二期付款:该笔款为合同总价款的50%(百分之伍拾)，项目成功上线并完成最终验收后15(拾伍)个工作日内甲方向乙方支付(自验收报告签字之日起算)。</w:t>
            </w:r>
          </w:p>
        </w:tc>
      </w:tr>
    </w:tbl>
    <w:p w14:paraId="3CFD5A1A">
      <w:pPr>
        <w:pStyle w:val="2"/>
        <w:spacing w:line="360" w:lineRule="auto"/>
        <w:ind w:firstLine="0"/>
        <w:rPr>
          <w:rFonts w:hint="default" w:ascii="宋体" w:hAnsi="宋体" w:eastAsia="宋体"/>
          <w:b/>
          <w:sz w:val="24"/>
          <w:szCs w:val="24"/>
        </w:rPr>
      </w:pPr>
    </w:p>
    <w:p w14:paraId="0E2DCB16">
      <w:pPr>
        <w:rPr>
          <w:rFonts w:hint="default"/>
        </w:rPr>
      </w:pPr>
    </w:p>
    <w:p w14:paraId="3D99B5AF">
      <w:pPr>
        <w:pStyle w:val="2"/>
        <w:rPr>
          <w:rFonts w:hint="default"/>
        </w:rPr>
      </w:pPr>
    </w:p>
    <w:p w14:paraId="40800655">
      <w:pPr>
        <w:pStyle w:val="2"/>
        <w:numPr>
          <w:ilvl w:val="0"/>
          <w:numId w:val="2"/>
        </w:numPr>
        <w:spacing w:line="360" w:lineRule="auto"/>
        <w:rPr>
          <w:rFonts w:hint="default" w:ascii="宋体" w:hAnsi="宋体" w:eastAsia="宋体"/>
          <w:b/>
          <w:sz w:val="24"/>
          <w:szCs w:val="24"/>
        </w:rPr>
      </w:pPr>
      <w:r>
        <w:rPr>
          <w:rFonts w:ascii="宋体" w:hAnsi="宋体" w:eastAsia="宋体"/>
          <w:b/>
          <w:sz w:val="24"/>
          <w:szCs w:val="24"/>
        </w:rPr>
        <w:t>服务期限及售后服务</w:t>
      </w:r>
    </w:p>
    <w:tbl>
      <w:tblPr>
        <w:tblStyle w:val="15"/>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7938"/>
      </w:tblGrid>
      <w:tr w14:paraId="1C8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A7FBCC7">
            <w:pPr>
              <w:pStyle w:val="2"/>
              <w:spacing w:line="360" w:lineRule="auto"/>
              <w:ind w:firstLine="0"/>
              <w:jc w:val="center"/>
              <w:rPr>
                <w:rFonts w:hint="default" w:ascii="宋体" w:hAnsi="宋体" w:eastAsia="宋体"/>
                <w:kern w:val="0"/>
                <w:sz w:val="24"/>
                <w:szCs w:val="24"/>
              </w:rPr>
            </w:pPr>
            <w:r>
              <w:rPr>
                <w:rFonts w:ascii="宋体" w:hAnsi="宋体" w:eastAsia="宋体"/>
                <w:kern w:val="0"/>
                <w:sz w:val="24"/>
                <w:szCs w:val="24"/>
              </w:rPr>
              <w:t>序号</w:t>
            </w:r>
          </w:p>
        </w:tc>
        <w:tc>
          <w:tcPr>
            <w:tcW w:w="7938" w:type="dxa"/>
            <w:vAlign w:val="center"/>
          </w:tcPr>
          <w:p w14:paraId="6179E639">
            <w:pPr>
              <w:pStyle w:val="2"/>
              <w:spacing w:line="360" w:lineRule="auto"/>
              <w:ind w:firstLine="0"/>
              <w:jc w:val="center"/>
              <w:rPr>
                <w:rFonts w:hint="default" w:ascii="宋体" w:hAnsi="宋体" w:eastAsia="宋体"/>
                <w:kern w:val="0"/>
                <w:sz w:val="24"/>
                <w:szCs w:val="24"/>
              </w:rPr>
            </w:pPr>
            <w:r>
              <w:rPr>
                <w:rFonts w:ascii="宋体" w:hAnsi="宋体" w:eastAsia="宋体"/>
                <w:kern w:val="0"/>
                <w:sz w:val="24"/>
                <w:szCs w:val="24"/>
              </w:rPr>
              <w:t>售后服务要求</w:t>
            </w:r>
          </w:p>
        </w:tc>
      </w:tr>
      <w:tr w14:paraId="5CD4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26A9DB3">
            <w:pPr>
              <w:pStyle w:val="2"/>
              <w:spacing w:line="360" w:lineRule="auto"/>
              <w:ind w:firstLine="0"/>
              <w:jc w:val="center"/>
              <w:rPr>
                <w:rFonts w:hint="default" w:ascii="宋体" w:hAnsi="宋体" w:eastAsia="宋体"/>
                <w:kern w:val="0"/>
                <w:sz w:val="24"/>
                <w:szCs w:val="24"/>
              </w:rPr>
            </w:pPr>
            <w:r>
              <w:rPr>
                <w:rFonts w:ascii="宋体" w:hAnsi="宋体" w:eastAsia="宋体"/>
                <w:kern w:val="0"/>
                <w:sz w:val="24"/>
                <w:szCs w:val="24"/>
              </w:rPr>
              <w:t>1</w:t>
            </w:r>
          </w:p>
        </w:tc>
        <w:tc>
          <w:tcPr>
            <w:tcW w:w="7938" w:type="dxa"/>
            <w:vAlign w:val="center"/>
          </w:tcPr>
          <w:p w14:paraId="0F30C3CE">
            <w:pPr>
              <w:pStyle w:val="2"/>
              <w:spacing w:line="360" w:lineRule="auto"/>
              <w:ind w:firstLine="0"/>
              <w:rPr>
                <w:rFonts w:hint="default" w:ascii="宋体" w:hAnsi="宋体" w:eastAsia="宋体"/>
                <w:sz w:val="24"/>
                <w:szCs w:val="24"/>
              </w:rPr>
            </w:pPr>
            <w:r>
              <w:rPr>
                <w:rFonts w:ascii="宋体" w:hAnsi="宋体" w:eastAsia="宋体"/>
                <w:sz w:val="24"/>
                <w:szCs w:val="24"/>
              </w:rPr>
              <w:t>自项目验收之日起，中标方为我校提供三年的免费技术服务。</w:t>
            </w:r>
          </w:p>
        </w:tc>
      </w:tr>
      <w:tr w14:paraId="6BE1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F232DD7">
            <w:pPr>
              <w:pStyle w:val="2"/>
              <w:spacing w:line="360" w:lineRule="auto"/>
              <w:ind w:firstLine="0"/>
              <w:jc w:val="center"/>
              <w:rPr>
                <w:rFonts w:hint="default" w:ascii="宋体" w:hAnsi="宋体" w:eastAsia="宋体"/>
                <w:kern w:val="0"/>
                <w:sz w:val="24"/>
                <w:szCs w:val="24"/>
              </w:rPr>
            </w:pPr>
            <w:r>
              <w:rPr>
                <w:rFonts w:ascii="宋体" w:hAnsi="宋体" w:eastAsia="宋体"/>
                <w:kern w:val="0"/>
                <w:sz w:val="24"/>
                <w:szCs w:val="24"/>
              </w:rPr>
              <w:t>2</w:t>
            </w:r>
          </w:p>
        </w:tc>
        <w:tc>
          <w:tcPr>
            <w:tcW w:w="7938" w:type="dxa"/>
            <w:vAlign w:val="center"/>
          </w:tcPr>
          <w:p w14:paraId="63A27EA6">
            <w:pPr>
              <w:pStyle w:val="2"/>
              <w:spacing w:line="360" w:lineRule="auto"/>
              <w:ind w:firstLine="0"/>
              <w:rPr>
                <w:rFonts w:hint="default" w:ascii="宋体" w:hAnsi="宋体" w:eastAsia="宋体"/>
                <w:sz w:val="24"/>
                <w:szCs w:val="24"/>
              </w:rPr>
            </w:pPr>
            <w:r>
              <w:rPr>
                <w:rFonts w:ascii="宋体" w:hAnsi="宋体" w:eastAsia="宋体"/>
                <w:sz w:val="24"/>
                <w:szCs w:val="24"/>
              </w:rPr>
              <w:t>投标方必须提供详细的免费保修期内技术支持和服务方案，技术支持和服务方案包括（但不限于）：提供</w:t>
            </w:r>
            <w:r>
              <w:rPr>
                <w:rFonts w:hint="default" w:ascii="宋体" w:hAnsi="宋体" w:eastAsia="宋体"/>
                <w:sz w:val="24"/>
                <w:szCs w:val="24"/>
              </w:rPr>
              <w:t>7×24小时的电话技术支持和服务；对于一般问题，30分钟内做出实质性响应，4小时内解决问题；根据用户要求，对重大问题提供现场技术支持，2小时内到达指定现场，24小时内解决问题</w:t>
            </w:r>
            <w:r>
              <w:rPr>
                <w:rFonts w:ascii="宋体" w:hAnsi="宋体" w:eastAsia="宋体"/>
                <w:sz w:val="24"/>
                <w:szCs w:val="24"/>
              </w:rPr>
              <w:t>（</w:t>
            </w:r>
            <w:r>
              <w:rPr>
                <w:rFonts w:hint="default" w:ascii="宋体" w:hAnsi="宋体" w:eastAsia="宋体"/>
                <w:sz w:val="24"/>
                <w:szCs w:val="24"/>
              </w:rPr>
              <w:t>重大问题定义：系统阻塞</w:t>
            </w:r>
            <w:r>
              <w:rPr>
                <w:rFonts w:ascii="宋体" w:hAnsi="宋体" w:eastAsia="宋体"/>
                <w:sz w:val="24"/>
                <w:szCs w:val="24"/>
              </w:rPr>
              <w:t>，</w:t>
            </w:r>
            <w:r>
              <w:rPr>
                <w:rFonts w:hint="default" w:ascii="宋体" w:hAnsi="宋体" w:eastAsia="宋体"/>
                <w:sz w:val="24"/>
                <w:szCs w:val="24"/>
              </w:rPr>
              <w:t>常用功能使用不正常；一般问题定义：除重大问题以外的其它问题</w:t>
            </w:r>
            <w:r>
              <w:rPr>
                <w:rFonts w:ascii="宋体" w:hAnsi="宋体" w:eastAsia="宋体"/>
                <w:sz w:val="24"/>
                <w:szCs w:val="24"/>
              </w:rPr>
              <w:t>）；</w:t>
            </w:r>
            <w:r>
              <w:rPr>
                <w:rFonts w:hint="default" w:ascii="宋体" w:hAnsi="宋体" w:eastAsia="宋体"/>
                <w:sz w:val="24"/>
                <w:szCs w:val="24"/>
              </w:rPr>
              <w:t>须指定专人为系统提供技术支持服务。服务范围包括系统安装、升级、调试、性能调优、系统管理等。服务方式包括电话、互联网、Email和现场等方式。按用户要求提供产品升级服务，制定升级计划，并对升级后的系统进行安装、培训。</w:t>
            </w:r>
          </w:p>
        </w:tc>
      </w:tr>
      <w:tr w14:paraId="277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4833F820">
            <w:pPr>
              <w:pStyle w:val="2"/>
              <w:spacing w:line="360" w:lineRule="auto"/>
              <w:ind w:firstLine="0"/>
              <w:jc w:val="center"/>
              <w:rPr>
                <w:rFonts w:hint="default" w:ascii="宋体" w:hAnsi="宋体" w:eastAsia="宋体"/>
                <w:kern w:val="0"/>
                <w:sz w:val="24"/>
                <w:szCs w:val="24"/>
              </w:rPr>
            </w:pPr>
            <w:r>
              <w:rPr>
                <w:rFonts w:ascii="宋体" w:hAnsi="宋体" w:eastAsia="宋体"/>
                <w:kern w:val="0"/>
                <w:sz w:val="24"/>
                <w:szCs w:val="24"/>
              </w:rPr>
              <w:t>3</w:t>
            </w:r>
          </w:p>
        </w:tc>
        <w:tc>
          <w:tcPr>
            <w:tcW w:w="7938" w:type="dxa"/>
            <w:vAlign w:val="center"/>
          </w:tcPr>
          <w:p w14:paraId="0CC2C7A8">
            <w:pPr>
              <w:pStyle w:val="2"/>
              <w:spacing w:line="360" w:lineRule="auto"/>
              <w:ind w:firstLine="0"/>
              <w:rPr>
                <w:rFonts w:hint="default" w:ascii="宋体" w:hAnsi="宋体" w:eastAsia="宋体"/>
                <w:sz w:val="24"/>
                <w:szCs w:val="24"/>
              </w:rPr>
            </w:pPr>
            <w:r>
              <w:rPr>
                <w:rFonts w:ascii="宋体" w:hAnsi="宋体" w:eastAsia="宋体"/>
                <w:sz w:val="24"/>
                <w:szCs w:val="24"/>
              </w:rPr>
              <w:t>投标方有固定及完善的服务体系（需提供固定及完善服务机构等证明文件）。</w:t>
            </w:r>
          </w:p>
        </w:tc>
      </w:tr>
    </w:tbl>
    <w:p w14:paraId="64CD6B70">
      <w:pPr>
        <w:pStyle w:val="2"/>
        <w:spacing w:line="360" w:lineRule="auto"/>
        <w:ind w:left="420" w:firstLine="0"/>
        <w:rPr>
          <w:rFonts w:hint="default" w:ascii="宋体" w:hAnsi="宋体" w:eastAsia="宋体"/>
          <w:b/>
          <w:sz w:val="24"/>
          <w:szCs w:val="24"/>
        </w:rPr>
      </w:pPr>
    </w:p>
    <w:p w14:paraId="379F8280">
      <w:pPr>
        <w:pStyle w:val="2"/>
        <w:numPr>
          <w:ilvl w:val="0"/>
          <w:numId w:val="2"/>
        </w:numPr>
        <w:spacing w:line="360" w:lineRule="auto"/>
        <w:rPr>
          <w:rFonts w:hint="default" w:ascii="宋体" w:hAnsi="宋体" w:eastAsia="宋体"/>
          <w:b/>
          <w:sz w:val="24"/>
          <w:szCs w:val="24"/>
        </w:rPr>
      </w:pPr>
      <w:r>
        <w:rPr>
          <w:rFonts w:hint="default"/>
        </w:rPr>
        <w:br w:type="page"/>
      </w:r>
      <w:r>
        <w:rPr>
          <w:rFonts w:ascii="宋体" w:hAnsi="宋体" w:eastAsia="宋体"/>
          <w:b/>
          <w:sz w:val="24"/>
          <w:szCs w:val="24"/>
        </w:rPr>
        <w:t>评分标准</w:t>
      </w:r>
    </w:p>
    <w:tbl>
      <w:tblPr>
        <w:tblStyle w:val="1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1572"/>
        <w:gridCol w:w="932"/>
        <w:gridCol w:w="6391"/>
      </w:tblGrid>
      <w:tr w14:paraId="07E8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04" w:type="dxa"/>
            <w:vAlign w:val="center"/>
          </w:tcPr>
          <w:p w14:paraId="352F9C53">
            <w:pPr>
              <w:pStyle w:val="2"/>
              <w:spacing w:line="360" w:lineRule="auto"/>
              <w:ind w:firstLine="0"/>
              <w:jc w:val="center"/>
              <w:rPr>
                <w:rFonts w:hint="default" w:ascii="宋体" w:hAnsi="宋体" w:eastAsia="宋体"/>
                <w:sz w:val="24"/>
                <w:szCs w:val="24"/>
              </w:rPr>
            </w:pPr>
            <w:r>
              <w:rPr>
                <w:rFonts w:ascii="宋体" w:hAnsi="宋体" w:eastAsia="宋体"/>
                <w:sz w:val="24"/>
                <w:szCs w:val="24"/>
              </w:rPr>
              <w:t>序号</w:t>
            </w:r>
          </w:p>
        </w:tc>
        <w:tc>
          <w:tcPr>
            <w:tcW w:w="1572" w:type="dxa"/>
            <w:vAlign w:val="center"/>
          </w:tcPr>
          <w:p w14:paraId="7BFBBFC8">
            <w:pPr>
              <w:pStyle w:val="2"/>
              <w:spacing w:line="360" w:lineRule="auto"/>
              <w:ind w:firstLine="0"/>
              <w:jc w:val="center"/>
              <w:rPr>
                <w:rFonts w:hint="default" w:ascii="宋体" w:hAnsi="宋体" w:eastAsia="宋体"/>
                <w:sz w:val="24"/>
                <w:szCs w:val="24"/>
              </w:rPr>
            </w:pPr>
            <w:r>
              <w:rPr>
                <w:rFonts w:ascii="宋体" w:hAnsi="宋体" w:eastAsia="宋体"/>
                <w:sz w:val="24"/>
                <w:szCs w:val="24"/>
              </w:rPr>
              <w:t>评标要素</w:t>
            </w:r>
          </w:p>
        </w:tc>
        <w:tc>
          <w:tcPr>
            <w:tcW w:w="932" w:type="dxa"/>
            <w:vAlign w:val="center"/>
          </w:tcPr>
          <w:p w14:paraId="6B1F8BF9">
            <w:pPr>
              <w:pStyle w:val="2"/>
              <w:spacing w:line="360" w:lineRule="auto"/>
              <w:ind w:firstLine="0"/>
              <w:jc w:val="center"/>
              <w:rPr>
                <w:rFonts w:hint="default" w:ascii="宋体" w:hAnsi="宋体" w:eastAsia="宋体"/>
                <w:sz w:val="24"/>
                <w:szCs w:val="24"/>
              </w:rPr>
            </w:pPr>
            <w:r>
              <w:rPr>
                <w:rFonts w:ascii="宋体" w:hAnsi="宋体" w:eastAsia="宋体"/>
                <w:sz w:val="24"/>
                <w:szCs w:val="24"/>
              </w:rPr>
              <w:t>满分</w:t>
            </w:r>
          </w:p>
          <w:p w14:paraId="0A05745B">
            <w:pPr>
              <w:pStyle w:val="2"/>
              <w:spacing w:line="360" w:lineRule="auto"/>
              <w:ind w:firstLine="0"/>
              <w:jc w:val="center"/>
              <w:rPr>
                <w:rFonts w:hint="default" w:ascii="宋体" w:hAnsi="宋体" w:eastAsia="宋体"/>
                <w:sz w:val="24"/>
                <w:szCs w:val="24"/>
              </w:rPr>
            </w:pPr>
            <w:r>
              <w:rPr>
                <w:rFonts w:ascii="宋体" w:hAnsi="宋体" w:eastAsia="宋体"/>
                <w:sz w:val="24"/>
                <w:szCs w:val="24"/>
              </w:rPr>
              <w:t>分值</w:t>
            </w:r>
          </w:p>
        </w:tc>
        <w:tc>
          <w:tcPr>
            <w:tcW w:w="6391" w:type="dxa"/>
            <w:vAlign w:val="center"/>
          </w:tcPr>
          <w:p w14:paraId="79B0E5D4">
            <w:pPr>
              <w:pStyle w:val="2"/>
              <w:spacing w:line="360" w:lineRule="auto"/>
              <w:ind w:firstLine="0"/>
              <w:jc w:val="center"/>
              <w:rPr>
                <w:rFonts w:hint="default" w:ascii="宋体" w:hAnsi="宋体" w:eastAsia="宋体"/>
                <w:sz w:val="24"/>
                <w:szCs w:val="24"/>
              </w:rPr>
            </w:pPr>
            <w:r>
              <w:rPr>
                <w:rFonts w:ascii="宋体" w:hAnsi="宋体" w:eastAsia="宋体"/>
                <w:sz w:val="24"/>
                <w:szCs w:val="24"/>
              </w:rPr>
              <w:t>主要评标内容</w:t>
            </w:r>
          </w:p>
        </w:tc>
      </w:tr>
      <w:tr w14:paraId="2C69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Header/>
          <w:jc w:val="center"/>
        </w:trPr>
        <w:tc>
          <w:tcPr>
            <w:tcW w:w="704" w:type="dxa"/>
            <w:vAlign w:val="center"/>
          </w:tcPr>
          <w:p w14:paraId="5DBC6872">
            <w:pPr>
              <w:pStyle w:val="2"/>
              <w:spacing w:line="360" w:lineRule="auto"/>
              <w:ind w:firstLine="0"/>
              <w:jc w:val="center"/>
              <w:rPr>
                <w:rFonts w:hint="default" w:ascii="宋体" w:hAnsi="宋体" w:eastAsia="宋体"/>
                <w:sz w:val="24"/>
                <w:szCs w:val="24"/>
              </w:rPr>
            </w:pPr>
            <w:r>
              <w:rPr>
                <w:rFonts w:ascii="宋体" w:hAnsi="宋体" w:eastAsia="宋体"/>
                <w:sz w:val="24"/>
                <w:szCs w:val="24"/>
              </w:rPr>
              <w:t>1</w:t>
            </w:r>
          </w:p>
        </w:tc>
        <w:tc>
          <w:tcPr>
            <w:tcW w:w="1572" w:type="dxa"/>
            <w:vAlign w:val="center"/>
          </w:tcPr>
          <w:p w14:paraId="44195A83">
            <w:pPr>
              <w:pStyle w:val="2"/>
              <w:spacing w:line="360" w:lineRule="auto"/>
              <w:ind w:firstLine="0"/>
              <w:jc w:val="center"/>
              <w:rPr>
                <w:rFonts w:hint="default" w:ascii="宋体" w:hAnsi="宋体" w:eastAsia="宋体"/>
                <w:sz w:val="24"/>
                <w:szCs w:val="24"/>
              </w:rPr>
            </w:pPr>
            <w:r>
              <w:rPr>
                <w:rFonts w:ascii="宋体" w:hAnsi="宋体" w:eastAsia="宋体"/>
                <w:sz w:val="24"/>
                <w:szCs w:val="24"/>
              </w:rPr>
              <w:t>投标价格</w:t>
            </w:r>
          </w:p>
        </w:tc>
        <w:tc>
          <w:tcPr>
            <w:tcW w:w="932" w:type="dxa"/>
            <w:vAlign w:val="center"/>
          </w:tcPr>
          <w:p w14:paraId="0C3C00A4">
            <w:pPr>
              <w:pStyle w:val="2"/>
              <w:spacing w:line="360" w:lineRule="auto"/>
              <w:ind w:firstLine="0"/>
              <w:jc w:val="center"/>
              <w:rPr>
                <w:rFonts w:hint="default" w:ascii="宋体" w:hAnsi="宋体" w:eastAsia="宋体"/>
                <w:sz w:val="24"/>
                <w:szCs w:val="24"/>
              </w:rPr>
            </w:pPr>
            <w:r>
              <w:rPr>
                <w:rFonts w:ascii="宋体" w:hAnsi="宋体" w:eastAsia="宋体"/>
                <w:sz w:val="24"/>
                <w:szCs w:val="24"/>
              </w:rPr>
              <w:t>30</w:t>
            </w:r>
          </w:p>
        </w:tc>
        <w:tc>
          <w:tcPr>
            <w:tcW w:w="6391" w:type="dxa"/>
            <w:vAlign w:val="center"/>
          </w:tcPr>
          <w:p w14:paraId="77A843B7">
            <w:pPr>
              <w:pStyle w:val="2"/>
              <w:spacing w:line="360" w:lineRule="auto"/>
              <w:ind w:firstLine="0"/>
              <w:rPr>
                <w:rFonts w:hint="default" w:ascii="宋体" w:hAnsi="宋体" w:eastAsia="宋体"/>
                <w:sz w:val="24"/>
                <w:szCs w:val="24"/>
              </w:rPr>
            </w:pPr>
            <w:r>
              <w:rPr>
                <w:rFonts w:ascii="宋体" w:hAnsi="宋体" w:eastAsia="宋体"/>
                <w:sz w:val="24"/>
                <w:szCs w:val="24"/>
              </w:rPr>
              <w:t>有效投标报价的最低价作为评标基准价，其最低报价为满分；按［投标报价得分=（评标基准价/投标报价）×30］的计算公式计算，价格分数保留两位小数。</w:t>
            </w:r>
          </w:p>
        </w:tc>
      </w:tr>
      <w:tr w14:paraId="7D93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Align w:val="center"/>
          </w:tcPr>
          <w:p w14:paraId="2B659613">
            <w:pPr>
              <w:pStyle w:val="2"/>
              <w:spacing w:line="360" w:lineRule="auto"/>
              <w:ind w:firstLine="0"/>
              <w:jc w:val="center"/>
              <w:rPr>
                <w:rFonts w:hint="default" w:ascii="宋体" w:hAnsi="宋体" w:eastAsia="宋体"/>
                <w:sz w:val="24"/>
                <w:szCs w:val="24"/>
              </w:rPr>
            </w:pPr>
            <w:r>
              <w:rPr>
                <w:rFonts w:ascii="宋体" w:hAnsi="宋体" w:eastAsia="宋体"/>
                <w:sz w:val="24"/>
                <w:szCs w:val="24"/>
              </w:rPr>
              <w:t>2</w:t>
            </w:r>
          </w:p>
        </w:tc>
        <w:tc>
          <w:tcPr>
            <w:tcW w:w="1572" w:type="dxa"/>
            <w:vAlign w:val="center"/>
          </w:tcPr>
          <w:p w14:paraId="5AD3048B">
            <w:pPr>
              <w:pStyle w:val="2"/>
              <w:spacing w:line="360" w:lineRule="auto"/>
              <w:ind w:firstLine="0"/>
              <w:jc w:val="center"/>
              <w:rPr>
                <w:rFonts w:hint="default" w:ascii="宋体" w:hAnsi="宋体" w:eastAsia="宋体"/>
                <w:sz w:val="24"/>
                <w:szCs w:val="24"/>
              </w:rPr>
            </w:pPr>
            <w:r>
              <w:rPr>
                <w:rFonts w:ascii="宋体" w:hAnsi="宋体" w:eastAsia="宋体"/>
                <w:sz w:val="24"/>
                <w:szCs w:val="24"/>
              </w:rPr>
              <w:t>技术方案的可行性、先进性等</w:t>
            </w:r>
          </w:p>
        </w:tc>
        <w:tc>
          <w:tcPr>
            <w:tcW w:w="932" w:type="dxa"/>
            <w:vAlign w:val="center"/>
          </w:tcPr>
          <w:p w14:paraId="1F2705C6">
            <w:pPr>
              <w:pStyle w:val="2"/>
              <w:spacing w:line="360" w:lineRule="auto"/>
              <w:ind w:firstLine="0"/>
              <w:jc w:val="center"/>
              <w:rPr>
                <w:rFonts w:hint="default" w:ascii="宋体" w:hAnsi="宋体" w:eastAsia="宋体"/>
                <w:sz w:val="24"/>
                <w:szCs w:val="24"/>
              </w:rPr>
            </w:pPr>
            <w:r>
              <w:rPr>
                <w:rFonts w:ascii="宋体" w:hAnsi="宋体" w:eastAsia="宋体"/>
                <w:sz w:val="24"/>
                <w:szCs w:val="24"/>
              </w:rPr>
              <w:t>20</w:t>
            </w:r>
          </w:p>
        </w:tc>
        <w:tc>
          <w:tcPr>
            <w:tcW w:w="6391" w:type="dxa"/>
            <w:vAlign w:val="center"/>
          </w:tcPr>
          <w:p w14:paraId="0F68166A">
            <w:pPr>
              <w:spacing w:line="360" w:lineRule="auto"/>
              <w:rPr>
                <w:rFonts w:hint="default" w:ascii="宋体" w:hAnsi="宋体" w:eastAsia="宋体"/>
                <w:kern w:val="0"/>
                <w:sz w:val="24"/>
                <w:szCs w:val="24"/>
              </w:rPr>
            </w:pPr>
            <w:r>
              <w:rPr>
                <w:rFonts w:ascii="宋体" w:hAnsi="宋体" w:eastAsia="宋体" w:cs="宋体"/>
                <w:kern w:val="0"/>
                <w:sz w:val="24"/>
                <w:szCs w:val="24"/>
              </w:rPr>
              <w:t>考察以下方面的内容：</w:t>
            </w:r>
          </w:p>
          <w:p w14:paraId="6D207D50">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（1）重点考察方案对现有平台的影响，尽量做到对用户端和管理员端无影响，与现有用户界面和使用习惯保持一致，并保证现有服务的稳定运行。</w:t>
            </w:r>
          </w:p>
          <w:p w14:paraId="6939C49F">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（2）考察方案的完整性、整体响应程度；对用户需求的理解程度，方案的针对性；各项技术性能指标是否满足需求，相关证明文件是否提供；方案是否具有较好的合理性、先进性等。</w:t>
            </w:r>
          </w:p>
          <w:p w14:paraId="3581E842">
            <w:pPr>
              <w:pStyle w:val="2"/>
              <w:spacing w:line="360" w:lineRule="auto"/>
              <w:ind w:firstLine="0"/>
              <w:rPr>
                <w:rFonts w:hint="default" w:ascii="宋体" w:hAnsi="宋体" w:eastAsia="宋体"/>
                <w:sz w:val="24"/>
                <w:szCs w:val="24"/>
              </w:rPr>
            </w:pPr>
            <w:r>
              <w:rPr>
                <w:rFonts w:ascii="宋体" w:hAnsi="宋体" w:eastAsia="宋体"/>
                <w:kern w:val="0"/>
                <w:sz w:val="24"/>
                <w:szCs w:val="24"/>
              </w:rPr>
              <w:t>对各投标人进行横向对比评分。</w:t>
            </w:r>
          </w:p>
          <w:p w14:paraId="00F455F3">
            <w:pPr>
              <w:pStyle w:val="2"/>
              <w:spacing w:line="360" w:lineRule="auto"/>
              <w:ind w:firstLine="0"/>
              <w:rPr>
                <w:rFonts w:hint="default" w:ascii="宋体" w:hAnsi="宋体" w:eastAsia="宋体"/>
                <w:sz w:val="24"/>
                <w:szCs w:val="24"/>
              </w:rPr>
            </w:pPr>
            <w:r>
              <w:rPr>
                <w:rFonts w:ascii="宋体" w:hAnsi="宋体" w:eastAsia="宋体"/>
                <w:sz w:val="24"/>
                <w:szCs w:val="24"/>
              </w:rPr>
              <w:t>好：18-20分，较好：15-17分；一般：10-14；较差：1-9分。</w:t>
            </w:r>
          </w:p>
        </w:tc>
      </w:tr>
      <w:tr w14:paraId="1DF2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Merge w:val="restart"/>
            <w:vAlign w:val="center"/>
          </w:tcPr>
          <w:p w14:paraId="49EF2BC1">
            <w:pPr>
              <w:pStyle w:val="2"/>
              <w:spacing w:line="360" w:lineRule="auto"/>
              <w:ind w:firstLine="0"/>
              <w:jc w:val="center"/>
              <w:rPr>
                <w:rFonts w:hint="default" w:ascii="宋体" w:hAnsi="宋体" w:eastAsia="宋体"/>
                <w:sz w:val="24"/>
                <w:szCs w:val="24"/>
              </w:rPr>
            </w:pPr>
            <w:r>
              <w:rPr>
                <w:rFonts w:ascii="宋体" w:hAnsi="宋体" w:eastAsia="宋体"/>
                <w:sz w:val="24"/>
                <w:szCs w:val="24"/>
              </w:rPr>
              <w:t>3</w:t>
            </w:r>
          </w:p>
        </w:tc>
        <w:tc>
          <w:tcPr>
            <w:tcW w:w="1572" w:type="dxa"/>
            <w:vMerge w:val="restart"/>
            <w:vAlign w:val="center"/>
          </w:tcPr>
          <w:p w14:paraId="13D05A28">
            <w:pPr>
              <w:pStyle w:val="2"/>
              <w:spacing w:line="360" w:lineRule="auto"/>
              <w:ind w:firstLine="0"/>
              <w:jc w:val="center"/>
              <w:rPr>
                <w:rFonts w:hint="default" w:ascii="宋体" w:hAnsi="宋体" w:eastAsia="宋体"/>
                <w:sz w:val="24"/>
                <w:szCs w:val="24"/>
              </w:rPr>
            </w:pPr>
            <w:r>
              <w:rPr>
                <w:rFonts w:ascii="宋体" w:hAnsi="宋体" w:eastAsia="宋体"/>
                <w:sz w:val="24"/>
                <w:szCs w:val="24"/>
              </w:rPr>
              <w:t>项目管理、实施能力</w:t>
            </w:r>
          </w:p>
        </w:tc>
        <w:tc>
          <w:tcPr>
            <w:tcW w:w="932" w:type="dxa"/>
            <w:vAlign w:val="center"/>
          </w:tcPr>
          <w:p w14:paraId="0C8E79F4">
            <w:pPr>
              <w:pStyle w:val="2"/>
              <w:spacing w:line="360" w:lineRule="auto"/>
              <w:ind w:firstLine="0"/>
              <w:jc w:val="center"/>
              <w:rPr>
                <w:rFonts w:hint="default" w:ascii="宋体" w:hAnsi="宋体" w:eastAsia="宋体"/>
                <w:sz w:val="24"/>
                <w:szCs w:val="24"/>
              </w:rPr>
            </w:pPr>
            <w:r>
              <w:rPr>
                <w:rFonts w:ascii="宋体" w:hAnsi="宋体" w:eastAsia="宋体"/>
                <w:sz w:val="24"/>
                <w:szCs w:val="24"/>
              </w:rPr>
              <w:t>10</w:t>
            </w:r>
          </w:p>
        </w:tc>
        <w:tc>
          <w:tcPr>
            <w:tcW w:w="6391" w:type="dxa"/>
            <w:vAlign w:val="center"/>
          </w:tcPr>
          <w:p w14:paraId="498EE9F1">
            <w:pPr>
              <w:pStyle w:val="2"/>
              <w:spacing w:line="360" w:lineRule="auto"/>
              <w:ind w:firstLine="0"/>
              <w:rPr>
                <w:rFonts w:hint="default" w:ascii="宋体" w:hAnsi="宋体" w:eastAsia="宋体"/>
                <w:sz w:val="24"/>
                <w:szCs w:val="24"/>
              </w:rPr>
            </w:pPr>
            <w:r>
              <w:rPr>
                <w:rFonts w:ascii="宋体" w:hAnsi="宋体" w:eastAsia="宋体"/>
                <w:sz w:val="24"/>
                <w:szCs w:val="24"/>
              </w:rPr>
              <w:t>1、项目经理能力要求（5分）：</w:t>
            </w:r>
          </w:p>
          <w:p w14:paraId="4B0134F4">
            <w:pPr>
              <w:pStyle w:val="2"/>
              <w:spacing w:line="360" w:lineRule="auto"/>
              <w:ind w:firstLine="0"/>
              <w:rPr>
                <w:rFonts w:hint="default" w:ascii="宋体" w:hAnsi="宋体" w:eastAsia="宋体"/>
                <w:sz w:val="24"/>
                <w:szCs w:val="24"/>
              </w:rPr>
            </w:pPr>
            <w:r>
              <w:rPr>
                <w:rFonts w:ascii="宋体" w:hAnsi="宋体" w:eastAsia="宋体"/>
                <w:sz w:val="24"/>
                <w:szCs w:val="24"/>
              </w:rPr>
              <w:t>（1）具有注册信息安全工程师（CISP-CISE）证书</w:t>
            </w:r>
          </w:p>
          <w:p w14:paraId="5FB02932">
            <w:pPr>
              <w:pStyle w:val="2"/>
              <w:spacing w:line="360" w:lineRule="auto"/>
              <w:ind w:firstLine="0"/>
              <w:rPr>
                <w:rFonts w:hint="default" w:ascii="宋体" w:hAnsi="宋体" w:eastAsia="宋体"/>
                <w:sz w:val="24"/>
                <w:szCs w:val="24"/>
              </w:rPr>
            </w:pPr>
            <w:r>
              <w:rPr>
                <w:rFonts w:ascii="宋体" w:hAnsi="宋体" w:eastAsia="宋体"/>
                <w:sz w:val="24"/>
                <w:szCs w:val="24"/>
              </w:rPr>
              <w:t>（2）具有电子数据鉴定专项职业能力证书</w:t>
            </w:r>
          </w:p>
          <w:p w14:paraId="6C5A2827">
            <w:pPr>
              <w:pStyle w:val="2"/>
              <w:spacing w:line="360" w:lineRule="auto"/>
              <w:ind w:firstLine="0"/>
              <w:rPr>
                <w:rFonts w:hint="default" w:ascii="宋体" w:hAnsi="宋体" w:eastAsia="宋体"/>
                <w:sz w:val="24"/>
                <w:szCs w:val="24"/>
              </w:rPr>
            </w:pPr>
            <w:r>
              <w:rPr>
                <w:rFonts w:ascii="宋体" w:hAnsi="宋体" w:eastAsia="宋体"/>
                <w:sz w:val="24"/>
                <w:szCs w:val="24"/>
              </w:rPr>
              <w:t>（3）具有数据安全评估师（CCRC-DSA）证书</w:t>
            </w:r>
          </w:p>
          <w:p w14:paraId="3A68A1EC">
            <w:pPr>
              <w:pStyle w:val="2"/>
              <w:spacing w:line="360" w:lineRule="auto"/>
              <w:ind w:firstLine="0"/>
              <w:rPr>
                <w:rFonts w:hint="default" w:ascii="宋体" w:hAnsi="宋体" w:eastAsia="宋体"/>
                <w:sz w:val="24"/>
                <w:szCs w:val="24"/>
              </w:rPr>
            </w:pPr>
            <w:r>
              <w:rPr>
                <w:rFonts w:ascii="宋体" w:hAnsi="宋体" w:eastAsia="宋体"/>
                <w:sz w:val="24"/>
                <w:szCs w:val="24"/>
              </w:rPr>
              <w:t>（4）具有信息安全工程师（中级及以上）证书</w:t>
            </w:r>
          </w:p>
          <w:p w14:paraId="4C8CF233">
            <w:pPr>
              <w:pStyle w:val="2"/>
              <w:spacing w:line="360" w:lineRule="auto"/>
              <w:ind w:firstLine="0"/>
              <w:rPr>
                <w:rFonts w:hint="default" w:ascii="宋体" w:hAnsi="宋体" w:eastAsia="宋体"/>
                <w:sz w:val="24"/>
                <w:szCs w:val="24"/>
              </w:rPr>
            </w:pPr>
            <w:r>
              <w:rPr>
                <w:rFonts w:ascii="宋体" w:hAnsi="宋体" w:eastAsia="宋体"/>
                <w:sz w:val="24"/>
                <w:szCs w:val="24"/>
              </w:rPr>
              <w:t>（5）具有数据安全工程师（高级）证书</w:t>
            </w:r>
          </w:p>
          <w:p w14:paraId="09C3EE9D">
            <w:pPr>
              <w:pStyle w:val="2"/>
              <w:spacing w:after="156" w:afterLines="50" w:line="360" w:lineRule="auto"/>
              <w:ind w:firstLine="0"/>
              <w:rPr>
                <w:rFonts w:hint="default" w:ascii="宋体" w:hAnsi="宋体" w:eastAsia="宋体"/>
                <w:sz w:val="24"/>
                <w:szCs w:val="24"/>
              </w:rPr>
            </w:pPr>
            <w:r>
              <w:rPr>
                <w:rFonts w:ascii="宋体" w:hAnsi="宋体" w:eastAsia="宋体"/>
                <w:sz w:val="24"/>
                <w:szCs w:val="24"/>
              </w:rPr>
              <w:t>上述证书每个得1分，最高5分。</w:t>
            </w:r>
          </w:p>
          <w:p w14:paraId="7CA64710">
            <w:pPr>
              <w:pStyle w:val="2"/>
              <w:spacing w:line="360" w:lineRule="auto"/>
              <w:ind w:firstLine="0"/>
              <w:rPr>
                <w:rFonts w:hint="default" w:ascii="宋体" w:hAnsi="宋体" w:eastAsia="宋体"/>
                <w:sz w:val="24"/>
                <w:szCs w:val="24"/>
              </w:rPr>
            </w:pPr>
            <w:r>
              <w:rPr>
                <w:rFonts w:ascii="宋体" w:hAnsi="宋体" w:eastAsia="宋体"/>
                <w:sz w:val="24"/>
                <w:szCs w:val="24"/>
              </w:rPr>
              <w:t>2、其他项目团队成员（不含项目经理）整体能力要求（5分）：</w:t>
            </w:r>
          </w:p>
          <w:p w14:paraId="296525C9">
            <w:pPr>
              <w:pStyle w:val="2"/>
              <w:spacing w:line="360" w:lineRule="auto"/>
              <w:ind w:firstLine="0"/>
              <w:rPr>
                <w:rFonts w:hint="default" w:ascii="宋体" w:hAnsi="宋体" w:eastAsia="宋体"/>
                <w:sz w:val="24"/>
                <w:szCs w:val="24"/>
              </w:rPr>
            </w:pPr>
            <w:r>
              <w:rPr>
                <w:rFonts w:ascii="宋体" w:hAnsi="宋体" w:eastAsia="宋体"/>
                <w:sz w:val="24"/>
                <w:szCs w:val="24"/>
              </w:rPr>
              <w:t>（1）具有国家注册信息安全渗透测试专家（CISP-PTS）证书</w:t>
            </w:r>
          </w:p>
          <w:p w14:paraId="56A14B47">
            <w:pPr>
              <w:pStyle w:val="2"/>
              <w:spacing w:line="360" w:lineRule="auto"/>
              <w:ind w:firstLine="0"/>
              <w:rPr>
                <w:rFonts w:hint="default" w:ascii="宋体" w:hAnsi="宋体" w:eastAsia="宋体"/>
                <w:sz w:val="24"/>
                <w:szCs w:val="24"/>
              </w:rPr>
            </w:pPr>
            <w:r>
              <w:rPr>
                <w:rFonts w:ascii="宋体" w:hAnsi="宋体" w:eastAsia="宋体"/>
                <w:sz w:val="24"/>
                <w:szCs w:val="24"/>
              </w:rPr>
              <w:t>（2）具有国家注册应急响应专家（CISP-IRS）证书</w:t>
            </w:r>
          </w:p>
          <w:p w14:paraId="7E8044F4">
            <w:pPr>
              <w:pStyle w:val="2"/>
              <w:spacing w:line="360" w:lineRule="auto"/>
              <w:ind w:firstLine="0"/>
              <w:rPr>
                <w:rFonts w:hint="default" w:ascii="宋体" w:hAnsi="宋体" w:eastAsia="宋体"/>
                <w:sz w:val="24"/>
                <w:szCs w:val="24"/>
              </w:rPr>
            </w:pPr>
            <w:r>
              <w:rPr>
                <w:rFonts w:ascii="宋体" w:hAnsi="宋体" w:eastAsia="宋体"/>
                <w:sz w:val="24"/>
                <w:szCs w:val="24"/>
              </w:rPr>
              <w:t>（3）具有注册数据安全治理专业人员（CISP-DSG）证书</w:t>
            </w:r>
          </w:p>
          <w:p w14:paraId="2681FE4D">
            <w:pPr>
              <w:pStyle w:val="2"/>
              <w:spacing w:line="360" w:lineRule="auto"/>
              <w:ind w:firstLine="0"/>
              <w:rPr>
                <w:rFonts w:hint="default" w:ascii="宋体" w:hAnsi="宋体" w:eastAsia="宋体"/>
                <w:sz w:val="24"/>
                <w:szCs w:val="24"/>
              </w:rPr>
            </w:pPr>
            <w:r>
              <w:rPr>
                <w:rFonts w:ascii="宋体" w:hAnsi="宋体" w:eastAsia="宋体"/>
                <w:sz w:val="24"/>
                <w:szCs w:val="24"/>
              </w:rPr>
              <w:t>（4）具有数据安全评估师（CCRC-DSA）证书</w:t>
            </w:r>
          </w:p>
          <w:p w14:paraId="32C4B69C">
            <w:pPr>
              <w:pStyle w:val="2"/>
              <w:spacing w:line="360" w:lineRule="auto"/>
              <w:ind w:firstLine="0"/>
              <w:rPr>
                <w:rFonts w:hint="default" w:ascii="宋体" w:hAnsi="宋体" w:eastAsia="宋体"/>
                <w:sz w:val="24"/>
                <w:szCs w:val="24"/>
              </w:rPr>
            </w:pPr>
            <w:r>
              <w:rPr>
                <w:rFonts w:ascii="宋体" w:hAnsi="宋体" w:eastAsia="宋体"/>
                <w:sz w:val="24"/>
                <w:szCs w:val="24"/>
              </w:rPr>
              <w:t>（5）具有注册信息系统审计师CISA证书</w:t>
            </w:r>
          </w:p>
          <w:p w14:paraId="51441D97">
            <w:pPr>
              <w:pStyle w:val="2"/>
              <w:spacing w:after="156" w:afterLines="50" w:line="360" w:lineRule="auto"/>
              <w:ind w:firstLine="0"/>
              <w:rPr>
                <w:rFonts w:hint="default" w:ascii="宋体" w:hAnsi="宋体" w:eastAsia="宋体"/>
                <w:sz w:val="24"/>
                <w:szCs w:val="24"/>
              </w:rPr>
            </w:pPr>
            <w:r>
              <w:rPr>
                <w:rFonts w:ascii="宋体" w:hAnsi="宋体" w:eastAsia="宋体"/>
                <w:sz w:val="24"/>
                <w:szCs w:val="24"/>
              </w:rPr>
              <w:t>上述证书每个得1分，最高5分（注：团队成员间重复证书的，每个证书仅计1分）。</w:t>
            </w:r>
          </w:p>
          <w:p w14:paraId="43C373B6">
            <w:pPr>
              <w:pStyle w:val="2"/>
              <w:spacing w:line="360" w:lineRule="auto"/>
              <w:ind w:firstLine="0"/>
              <w:rPr>
                <w:rFonts w:hint="default" w:ascii="宋体" w:hAnsi="宋体" w:eastAsia="宋体"/>
                <w:sz w:val="24"/>
                <w:szCs w:val="24"/>
              </w:rPr>
            </w:pPr>
            <w:r>
              <w:rPr>
                <w:rFonts w:ascii="宋体" w:hAnsi="宋体" w:eastAsia="宋体"/>
                <w:sz w:val="24"/>
                <w:szCs w:val="24"/>
              </w:rPr>
              <w:t>注：拟派项目负责人及团队成员须为投标人正式员工,提供项目负责人及项目成员身份证复印件、相关证书复印件、在投标前6个月内(不含投标当月)连续5个月由投标人缴纳社保证明材料的复印件(代缴社保证明材料不予认可)，以上材料需要加盖投标人公章。</w:t>
            </w:r>
          </w:p>
        </w:tc>
      </w:tr>
      <w:tr w14:paraId="1A8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Merge w:val="continue"/>
            <w:vAlign w:val="center"/>
          </w:tcPr>
          <w:p w14:paraId="3CF396B1">
            <w:pPr>
              <w:pStyle w:val="2"/>
              <w:spacing w:line="360" w:lineRule="auto"/>
              <w:ind w:firstLine="0"/>
              <w:jc w:val="center"/>
              <w:rPr>
                <w:rFonts w:hint="default" w:ascii="宋体" w:hAnsi="宋体" w:eastAsia="宋体"/>
                <w:sz w:val="24"/>
                <w:szCs w:val="24"/>
              </w:rPr>
            </w:pPr>
          </w:p>
        </w:tc>
        <w:tc>
          <w:tcPr>
            <w:tcW w:w="1572" w:type="dxa"/>
            <w:vMerge w:val="continue"/>
            <w:vAlign w:val="center"/>
          </w:tcPr>
          <w:p w14:paraId="14D8AF7C">
            <w:pPr>
              <w:pStyle w:val="2"/>
              <w:spacing w:line="360" w:lineRule="auto"/>
              <w:ind w:firstLine="0"/>
              <w:jc w:val="center"/>
              <w:rPr>
                <w:rFonts w:hint="default" w:ascii="宋体" w:hAnsi="宋体" w:eastAsia="宋体"/>
                <w:sz w:val="24"/>
                <w:szCs w:val="24"/>
              </w:rPr>
            </w:pPr>
          </w:p>
        </w:tc>
        <w:tc>
          <w:tcPr>
            <w:tcW w:w="932" w:type="dxa"/>
            <w:vAlign w:val="center"/>
          </w:tcPr>
          <w:p w14:paraId="74392781">
            <w:pPr>
              <w:pStyle w:val="2"/>
              <w:spacing w:line="360" w:lineRule="auto"/>
              <w:ind w:firstLine="0"/>
              <w:jc w:val="center"/>
              <w:rPr>
                <w:rFonts w:hint="default" w:ascii="宋体" w:hAnsi="宋体" w:eastAsia="宋体"/>
                <w:sz w:val="24"/>
                <w:szCs w:val="24"/>
              </w:rPr>
            </w:pPr>
            <w:r>
              <w:rPr>
                <w:rFonts w:ascii="宋体" w:hAnsi="宋体" w:eastAsia="宋体"/>
                <w:sz w:val="24"/>
                <w:szCs w:val="24"/>
              </w:rPr>
              <w:t>10</w:t>
            </w:r>
          </w:p>
        </w:tc>
        <w:tc>
          <w:tcPr>
            <w:tcW w:w="6391" w:type="dxa"/>
            <w:vAlign w:val="center"/>
          </w:tcPr>
          <w:p w14:paraId="101EEF48">
            <w:pPr>
              <w:pStyle w:val="2"/>
              <w:spacing w:line="360" w:lineRule="auto"/>
              <w:ind w:firstLine="0"/>
              <w:rPr>
                <w:rFonts w:hint="default" w:ascii="宋体" w:hAnsi="宋体" w:eastAsia="宋体"/>
                <w:sz w:val="24"/>
                <w:szCs w:val="24"/>
              </w:rPr>
            </w:pPr>
            <w:r>
              <w:rPr>
                <w:rFonts w:ascii="宋体" w:hAnsi="宋体" w:eastAsia="宋体"/>
                <w:sz w:val="24"/>
                <w:szCs w:val="24"/>
              </w:rPr>
              <w:t>考察项目实施计划、工期安排、验收方案、培训方案的合理性、完整性。</w:t>
            </w:r>
          </w:p>
          <w:p w14:paraId="0E5F140E">
            <w:pPr>
              <w:pStyle w:val="2"/>
              <w:spacing w:after="156" w:afterLines="50" w:line="360" w:lineRule="auto"/>
              <w:ind w:firstLine="0"/>
              <w:rPr>
                <w:rFonts w:hint="default" w:ascii="宋体" w:hAnsi="宋体" w:eastAsia="宋体"/>
                <w:sz w:val="24"/>
                <w:szCs w:val="24"/>
              </w:rPr>
            </w:pPr>
            <w:r>
              <w:rPr>
                <w:rFonts w:ascii="宋体" w:hAnsi="宋体" w:eastAsia="宋体"/>
                <w:sz w:val="24"/>
                <w:szCs w:val="24"/>
              </w:rPr>
              <w:t>好：7-10分，较好：4-6分；一般：1-3分。</w:t>
            </w:r>
          </w:p>
        </w:tc>
      </w:tr>
      <w:tr w14:paraId="4F2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Merge w:val="restart"/>
            <w:vAlign w:val="center"/>
          </w:tcPr>
          <w:p w14:paraId="7BD5D86F">
            <w:pPr>
              <w:pStyle w:val="2"/>
              <w:spacing w:line="360" w:lineRule="auto"/>
              <w:ind w:firstLine="0"/>
              <w:jc w:val="center"/>
              <w:rPr>
                <w:rFonts w:hint="default" w:ascii="宋体" w:hAnsi="宋体" w:eastAsia="宋体"/>
                <w:sz w:val="24"/>
                <w:szCs w:val="24"/>
              </w:rPr>
            </w:pPr>
            <w:r>
              <w:rPr>
                <w:rFonts w:ascii="宋体" w:hAnsi="宋体" w:eastAsia="宋体"/>
                <w:sz w:val="24"/>
                <w:szCs w:val="24"/>
              </w:rPr>
              <w:t>4</w:t>
            </w:r>
          </w:p>
        </w:tc>
        <w:tc>
          <w:tcPr>
            <w:tcW w:w="1572" w:type="dxa"/>
            <w:vMerge w:val="restart"/>
            <w:vAlign w:val="center"/>
          </w:tcPr>
          <w:p w14:paraId="6F45B8BF">
            <w:pPr>
              <w:pStyle w:val="2"/>
              <w:spacing w:line="360" w:lineRule="auto"/>
              <w:ind w:firstLine="0"/>
              <w:jc w:val="center"/>
              <w:rPr>
                <w:rFonts w:hint="default" w:ascii="宋体" w:hAnsi="宋体" w:eastAsia="宋体"/>
                <w:sz w:val="24"/>
                <w:szCs w:val="24"/>
              </w:rPr>
            </w:pPr>
            <w:r>
              <w:rPr>
                <w:rFonts w:ascii="宋体" w:hAnsi="宋体" w:eastAsia="宋体"/>
                <w:sz w:val="24"/>
                <w:szCs w:val="24"/>
              </w:rPr>
              <w:t>企业综合实力</w:t>
            </w:r>
          </w:p>
        </w:tc>
        <w:tc>
          <w:tcPr>
            <w:tcW w:w="932" w:type="dxa"/>
            <w:vAlign w:val="center"/>
          </w:tcPr>
          <w:p w14:paraId="5C79129E">
            <w:pPr>
              <w:pStyle w:val="2"/>
              <w:spacing w:line="360" w:lineRule="auto"/>
              <w:ind w:firstLine="0"/>
              <w:jc w:val="center"/>
              <w:rPr>
                <w:rFonts w:hint="default" w:ascii="宋体" w:hAnsi="宋体" w:eastAsia="宋体"/>
                <w:sz w:val="24"/>
                <w:szCs w:val="24"/>
              </w:rPr>
            </w:pPr>
            <w:r>
              <w:rPr>
                <w:rFonts w:ascii="宋体" w:hAnsi="宋体" w:eastAsia="宋体"/>
                <w:sz w:val="24"/>
                <w:szCs w:val="24"/>
              </w:rPr>
              <w:t>10</w:t>
            </w:r>
          </w:p>
        </w:tc>
        <w:tc>
          <w:tcPr>
            <w:tcW w:w="6391" w:type="dxa"/>
            <w:vAlign w:val="center"/>
          </w:tcPr>
          <w:p w14:paraId="597B2C90">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考察企业资质、信誉、荣誉、类似项目案例情况。</w:t>
            </w:r>
          </w:p>
          <w:p w14:paraId="158958A3">
            <w:pPr>
              <w:rPr>
                <w:rFonts w:hint="default" w:ascii="宋体" w:hAnsi="宋体" w:eastAsia="宋体"/>
                <w:kern w:val="0"/>
                <w:sz w:val="24"/>
                <w:szCs w:val="24"/>
              </w:rPr>
            </w:pPr>
            <w:r>
              <w:rPr>
                <w:rFonts w:ascii="宋体" w:hAnsi="宋体" w:eastAsia="宋体"/>
                <w:kern w:val="0"/>
                <w:sz w:val="24"/>
                <w:szCs w:val="24"/>
              </w:rPr>
              <w:t>投标人拥有隐私信息管理体系证27701的得2分；</w:t>
            </w:r>
          </w:p>
          <w:p w14:paraId="23B0CB17">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投标人拥有经中国电子信息联合会认证机构颁发的信息系统建设和服务能力达到CS2级及以上的得2分；</w:t>
            </w:r>
          </w:p>
          <w:p w14:paraId="6C6E4325">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投标人拥有</w:t>
            </w:r>
            <w:r>
              <w:rPr>
                <w:rFonts w:ascii="宋体" w:hAnsi="宋体" w:eastAsia="宋体" w:cs="Times New Roman"/>
                <w:kern w:val="1"/>
                <w:sz w:val="24"/>
                <w:szCs w:val="24"/>
              </w:rPr>
              <w:t>中国网络安全审查认证和市场监督大数据中心颁发的软件安全开发服务资质</w:t>
            </w:r>
            <w:r>
              <w:rPr>
                <w:rFonts w:ascii="宋体" w:hAnsi="宋体" w:eastAsia="宋体"/>
                <w:kern w:val="0"/>
                <w:sz w:val="24"/>
                <w:szCs w:val="24"/>
              </w:rPr>
              <w:t>证书的得2分；</w:t>
            </w:r>
          </w:p>
          <w:p w14:paraId="7B1AE6B6">
            <w:pPr>
              <w:pStyle w:val="2"/>
              <w:spacing w:line="360" w:lineRule="auto"/>
              <w:ind w:firstLine="0"/>
              <w:rPr>
                <w:rFonts w:hint="default" w:ascii="宋体" w:hAnsi="宋体" w:eastAsia="宋体"/>
                <w:kern w:val="0"/>
                <w:sz w:val="24"/>
                <w:szCs w:val="24"/>
              </w:rPr>
            </w:pPr>
            <w:r>
              <w:rPr>
                <w:rFonts w:ascii="宋体" w:hAnsi="宋体" w:eastAsia="宋体"/>
                <w:kern w:val="0"/>
                <w:sz w:val="24"/>
                <w:szCs w:val="24"/>
              </w:rPr>
              <w:t>投标人具有</w:t>
            </w:r>
            <w:r>
              <w:rPr>
                <w:rFonts w:ascii="宋体" w:hAnsi="宋体" w:eastAsia="宋体" w:cs="Times New Roman"/>
                <w:kern w:val="1"/>
                <w:sz w:val="24"/>
                <w:szCs w:val="24"/>
              </w:rPr>
              <w:t>中国网络安全审查认证和市场监督大数据中心</w:t>
            </w:r>
            <w:r>
              <w:rPr>
                <w:rFonts w:ascii="宋体" w:hAnsi="宋体" w:eastAsia="宋体"/>
                <w:kern w:val="0"/>
                <w:sz w:val="24"/>
                <w:szCs w:val="24"/>
              </w:rPr>
              <w:t>颁发的</w:t>
            </w:r>
            <w:r>
              <w:rPr>
                <w:rFonts w:ascii="宋体" w:hAnsi="宋体" w:eastAsia="宋体" w:cs="Times New Roman"/>
                <w:kern w:val="1"/>
                <w:sz w:val="24"/>
                <w:szCs w:val="24"/>
              </w:rPr>
              <w:t>信息系统网络安全审计服务资质认证证书</w:t>
            </w:r>
            <w:r>
              <w:rPr>
                <w:rFonts w:ascii="宋体" w:hAnsi="宋体" w:eastAsia="宋体"/>
                <w:kern w:val="0"/>
                <w:sz w:val="24"/>
                <w:szCs w:val="24"/>
              </w:rPr>
              <w:t>的得2分；</w:t>
            </w:r>
          </w:p>
          <w:p w14:paraId="49802761">
            <w:pPr>
              <w:pStyle w:val="2"/>
              <w:spacing w:line="360" w:lineRule="auto"/>
              <w:ind w:firstLine="0"/>
              <w:rPr>
                <w:rFonts w:hint="default"/>
              </w:rPr>
            </w:pPr>
            <w:r>
              <w:rPr>
                <w:rFonts w:ascii="宋体" w:hAnsi="宋体" w:eastAsia="宋体"/>
                <w:kern w:val="0"/>
                <w:sz w:val="24"/>
                <w:szCs w:val="24"/>
              </w:rPr>
              <w:t>投标人具有</w:t>
            </w:r>
            <w:r>
              <w:rPr>
                <w:rFonts w:ascii="宋体" w:hAnsi="宋体" w:eastAsia="宋体" w:cs="Times New Roman"/>
                <w:kern w:val="1"/>
                <w:sz w:val="24"/>
                <w:szCs w:val="24"/>
              </w:rPr>
              <w:t>中国网络安全审查认证和市场监督大数据中心颁发的信息安全灾难备份与恢复（B类）服务资质认证证书的</w:t>
            </w:r>
            <w:r>
              <w:rPr>
                <w:rFonts w:ascii="宋体" w:hAnsi="宋体" w:eastAsia="宋体"/>
                <w:kern w:val="0"/>
                <w:sz w:val="24"/>
                <w:szCs w:val="24"/>
              </w:rPr>
              <w:t>的得2分。</w:t>
            </w:r>
          </w:p>
        </w:tc>
      </w:tr>
      <w:tr w14:paraId="15D7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Merge w:val="continue"/>
            <w:vAlign w:val="center"/>
          </w:tcPr>
          <w:p w14:paraId="70DB668C">
            <w:pPr>
              <w:pStyle w:val="2"/>
              <w:spacing w:line="360" w:lineRule="auto"/>
              <w:ind w:firstLine="0"/>
              <w:jc w:val="center"/>
              <w:rPr>
                <w:rFonts w:hint="default" w:ascii="宋体" w:hAnsi="宋体" w:eastAsia="宋体"/>
                <w:sz w:val="24"/>
                <w:szCs w:val="24"/>
              </w:rPr>
            </w:pPr>
          </w:p>
        </w:tc>
        <w:tc>
          <w:tcPr>
            <w:tcW w:w="1572" w:type="dxa"/>
            <w:vMerge w:val="continue"/>
            <w:vAlign w:val="center"/>
          </w:tcPr>
          <w:p w14:paraId="3C83CCF0">
            <w:pPr>
              <w:pStyle w:val="2"/>
              <w:spacing w:line="360" w:lineRule="auto"/>
              <w:ind w:firstLine="0"/>
              <w:jc w:val="center"/>
              <w:rPr>
                <w:rFonts w:hint="default" w:ascii="宋体" w:hAnsi="宋体" w:eastAsia="宋体"/>
                <w:sz w:val="24"/>
                <w:szCs w:val="24"/>
              </w:rPr>
            </w:pPr>
          </w:p>
        </w:tc>
        <w:tc>
          <w:tcPr>
            <w:tcW w:w="932" w:type="dxa"/>
            <w:vAlign w:val="center"/>
          </w:tcPr>
          <w:p w14:paraId="093964BA">
            <w:pPr>
              <w:pStyle w:val="2"/>
              <w:spacing w:line="360" w:lineRule="auto"/>
              <w:ind w:firstLine="0"/>
              <w:jc w:val="center"/>
              <w:rPr>
                <w:rFonts w:hint="default" w:ascii="宋体" w:hAnsi="宋体" w:eastAsia="宋体"/>
                <w:sz w:val="24"/>
                <w:szCs w:val="24"/>
              </w:rPr>
            </w:pPr>
            <w:r>
              <w:rPr>
                <w:rFonts w:ascii="宋体" w:hAnsi="宋体" w:eastAsia="宋体"/>
                <w:sz w:val="24"/>
                <w:szCs w:val="24"/>
              </w:rPr>
              <w:t>10</w:t>
            </w:r>
          </w:p>
        </w:tc>
        <w:tc>
          <w:tcPr>
            <w:tcW w:w="6391" w:type="dxa"/>
            <w:vAlign w:val="center"/>
          </w:tcPr>
          <w:p w14:paraId="1BA23C4D">
            <w:pPr>
              <w:pStyle w:val="2"/>
              <w:spacing w:line="360" w:lineRule="auto"/>
              <w:ind w:firstLine="0"/>
              <w:rPr>
                <w:rFonts w:hint="default" w:ascii="宋体" w:hAnsi="宋体" w:cs="宋体"/>
                <w:sz w:val="24"/>
                <w:szCs w:val="24"/>
              </w:rPr>
            </w:pPr>
            <w:r>
              <w:rPr>
                <w:rFonts w:ascii="宋体" w:hAnsi="宋体" w:eastAsia="宋体" w:cs="宋体"/>
                <w:kern w:val="0"/>
                <w:sz w:val="24"/>
                <w:szCs w:val="24"/>
              </w:rPr>
              <w:t>投标人提供2022年1月1日以来完成的高校消息中心和企业微信管理平台相关案例，提供对应合同，每提供一份合同得2分，最高得10分</w:t>
            </w:r>
            <w:r>
              <w:rPr>
                <w:rFonts w:ascii="宋体" w:hAnsi="宋体" w:eastAsia="宋体"/>
                <w:kern w:val="0"/>
                <w:sz w:val="24"/>
                <w:szCs w:val="24"/>
              </w:rPr>
              <w:t>。</w:t>
            </w:r>
          </w:p>
        </w:tc>
      </w:tr>
      <w:tr w14:paraId="1C86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04" w:type="dxa"/>
            <w:vAlign w:val="center"/>
          </w:tcPr>
          <w:p w14:paraId="445DFF8C">
            <w:pPr>
              <w:pStyle w:val="2"/>
              <w:spacing w:line="360" w:lineRule="auto"/>
              <w:ind w:firstLine="0"/>
              <w:jc w:val="center"/>
              <w:rPr>
                <w:rFonts w:hint="default" w:ascii="宋体" w:hAnsi="宋体" w:eastAsia="宋体"/>
                <w:sz w:val="24"/>
                <w:szCs w:val="24"/>
              </w:rPr>
            </w:pPr>
            <w:r>
              <w:rPr>
                <w:rFonts w:ascii="宋体" w:hAnsi="宋体" w:eastAsia="宋体"/>
                <w:sz w:val="24"/>
                <w:szCs w:val="24"/>
              </w:rPr>
              <w:t>5</w:t>
            </w:r>
          </w:p>
        </w:tc>
        <w:tc>
          <w:tcPr>
            <w:tcW w:w="1572" w:type="dxa"/>
            <w:vAlign w:val="center"/>
          </w:tcPr>
          <w:p w14:paraId="50CA10AD">
            <w:pPr>
              <w:pStyle w:val="2"/>
              <w:spacing w:line="360" w:lineRule="auto"/>
              <w:ind w:firstLine="0"/>
              <w:jc w:val="center"/>
              <w:rPr>
                <w:rFonts w:hint="default" w:ascii="宋体" w:hAnsi="宋体" w:eastAsia="宋体"/>
                <w:sz w:val="24"/>
                <w:szCs w:val="24"/>
              </w:rPr>
            </w:pPr>
            <w:r>
              <w:rPr>
                <w:rFonts w:ascii="宋体" w:hAnsi="宋体" w:eastAsia="宋体"/>
                <w:sz w:val="24"/>
                <w:szCs w:val="24"/>
              </w:rPr>
              <w:t>售后服务</w:t>
            </w:r>
          </w:p>
        </w:tc>
        <w:tc>
          <w:tcPr>
            <w:tcW w:w="932" w:type="dxa"/>
            <w:vAlign w:val="center"/>
          </w:tcPr>
          <w:p w14:paraId="0BB0920D">
            <w:pPr>
              <w:pStyle w:val="2"/>
              <w:spacing w:line="360" w:lineRule="auto"/>
              <w:ind w:firstLine="0"/>
              <w:jc w:val="center"/>
              <w:rPr>
                <w:rFonts w:hint="default" w:ascii="宋体" w:hAnsi="宋体" w:eastAsia="宋体"/>
                <w:sz w:val="24"/>
                <w:szCs w:val="24"/>
              </w:rPr>
            </w:pPr>
            <w:r>
              <w:rPr>
                <w:rFonts w:ascii="宋体" w:hAnsi="宋体" w:eastAsia="宋体"/>
                <w:sz w:val="24"/>
                <w:szCs w:val="24"/>
              </w:rPr>
              <w:t>10</w:t>
            </w:r>
          </w:p>
        </w:tc>
        <w:tc>
          <w:tcPr>
            <w:tcW w:w="6391" w:type="dxa"/>
            <w:vAlign w:val="center"/>
          </w:tcPr>
          <w:p w14:paraId="663307F8">
            <w:pPr>
              <w:pStyle w:val="2"/>
              <w:spacing w:line="360" w:lineRule="auto"/>
              <w:ind w:firstLine="0"/>
              <w:rPr>
                <w:rFonts w:hint="default" w:ascii="宋体" w:hAnsi="宋体" w:eastAsia="宋体"/>
                <w:sz w:val="24"/>
                <w:szCs w:val="24"/>
              </w:rPr>
            </w:pPr>
            <w:r>
              <w:rPr>
                <w:rFonts w:ascii="宋体" w:hAnsi="宋体" w:eastAsia="宋体"/>
                <w:sz w:val="24"/>
                <w:szCs w:val="24"/>
              </w:rPr>
              <w:t>考察售后服务方案，包括人员操作培训、维保计划、服务承诺等的内容是否完整、方案是否科学、可行、经济等。</w:t>
            </w:r>
          </w:p>
          <w:p w14:paraId="44F2C99C">
            <w:pPr>
              <w:pStyle w:val="2"/>
              <w:spacing w:line="360" w:lineRule="auto"/>
              <w:ind w:firstLine="0"/>
              <w:rPr>
                <w:rFonts w:hint="default" w:ascii="宋体" w:hAnsi="宋体" w:eastAsia="宋体"/>
                <w:sz w:val="24"/>
                <w:szCs w:val="24"/>
              </w:rPr>
            </w:pPr>
            <w:r>
              <w:rPr>
                <w:rFonts w:ascii="宋体" w:hAnsi="宋体" w:eastAsia="宋体"/>
                <w:sz w:val="24"/>
                <w:szCs w:val="24"/>
              </w:rPr>
              <w:t>好：8-10分，较好：4-7分；一般：1-3分。</w:t>
            </w:r>
          </w:p>
        </w:tc>
      </w:tr>
    </w:tbl>
    <w:p w14:paraId="314F24A3">
      <w:pPr>
        <w:jc w:val="left"/>
        <w:rPr>
          <w:rFonts w:hint="default" w:ascii="宋体" w:hAnsi="宋体"/>
          <w:sz w:val="24"/>
          <w:szCs w:val="24"/>
        </w:rPr>
      </w:pPr>
    </w:p>
    <w:p w14:paraId="470B57D2">
      <w:pPr>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BEDC">
    <w:pPr>
      <w:pStyle w:val="11"/>
      <w:jc w:val="center"/>
    </w:pPr>
    <w:r>
      <w:fldChar w:fldCharType="begin"/>
    </w:r>
    <w:r>
      <w:instrText xml:space="preserve"> PAGE </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0BCA"/>
    <w:multiLevelType w:val="multilevel"/>
    <w:tmpl w:val="12950BC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F53269"/>
    <w:multiLevelType w:val="singleLevel"/>
    <w:tmpl w:val="22F53269"/>
    <w:lvl w:ilvl="0" w:tentative="0">
      <w:start w:val="1"/>
      <w:numFmt w:val="decimal"/>
      <w:lvlText w:val="%1)"/>
      <w:lvlJc w:val="left"/>
      <w:pPr>
        <w:ind w:left="425" w:hanging="425"/>
      </w:pPr>
      <w:rPr>
        <w:rFonts w:hint="default"/>
      </w:rPr>
    </w:lvl>
  </w:abstractNum>
  <w:abstractNum w:abstractNumId="2">
    <w:nsid w:val="23FB0BFA"/>
    <w:multiLevelType w:val="multilevel"/>
    <w:tmpl w:val="23FB0BFA"/>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074770"/>
    <w:multiLevelType w:val="multilevel"/>
    <w:tmpl w:val="2807477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52F5B1"/>
    <w:multiLevelType w:val="singleLevel"/>
    <w:tmpl w:val="3C52F5B1"/>
    <w:lvl w:ilvl="0" w:tentative="0">
      <w:start w:val="1"/>
      <w:numFmt w:val="decimal"/>
      <w:lvlText w:val="%1)"/>
      <w:lvlJc w:val="left"/>
      <w:pPr>
        <w:ind w:left="425" w:hanging="425"/>
      </w:pPr>
      <w:rPr>
        <w:rFonts w:hint="default"/>
      </w:rPr>
    </w:lvl>
  </w:abstractNum>
  <w:abstractNum w:abstractNumId="5">
    <w:nsid w:val="44664E7F"/>
    <w:multiLevelType w:val="multilevel"/>
    <w:tmpl w:val="44664E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hMzliZWUxNTgzNGEzMWZhZjIyMTc0NWJmMmRlYjUifQ=="/>
  </w:docVars>
  <w:rsids>
    <w:rsidRoot w:val="00694616"/>
    <w:rsid w:val="00052C14"/>
    <w:rsid w:val="00064189"/>
    <w:rsid w:val="0009051D"/>
    <w:rsid w:val="001453AE"/>
    <w:rsid w:val="001D39A7"/>
    <w:rsid w:val="002031CF"/>
    <w:rsid w:val="00211B1E"/>
    <w:rsid w:val="002124FF"/>
    <w:rsid w:val="00251527"/>
    <w:rsid w:val="002601F9"/>
    <w:rsid w:val="002615D8"/>
    <w:rsid w:val="00264753"/>
    <w:rsid w:val="0029052D"/>
    <w:rsid w:val="002B2111"/>
    <w:rsid w:val="002D0CB9"/>
    <w:rsid w:val="0031532F"/>
    <w:rsid w:val="0033495D"/>
    <w:rsid w:val="00404C75"/>
    <w:rsid w:val="00422557"/>
    <w:rsid w:val="00424A3B"/>
    <w:rsid w:val="00487528"/>
    <w:rsid w:val="004A7B02"/>
    <w:rsid w:val="004B303D"/>
    <w:rsid w:val="004C7099"/>
    <w:rsid w:val="005150AC"/>
    <w:rsid w:val="005176C5"/>
    <w:rsid w:val="00530C00"/>
    <w:rsid w:val="005B491B"/>
    <w:rsid w:val="005C74ED"/>
    <w:rsid w:val="005F4EB0"/>
    <w:rsid w:val="00603A4C"/>
    <w:rsid w:val="00623998"/>
    <w:rsid w:val="00644957"/>
    <w:rsid w:val="00655466"/>
    <w:rsid w:val="00670F94"/>
    <w:rsid w:val="00675EFF"/>
    <w:rsid w:val="00691341"/>
    <w:rsid w:val="00694616"/>
    <w:rsid w:val="006A5FF4"/>
    <w:rsid w:val="006B2A77"/>
    <w:rsid w:val="007030AC"/>
    <w:rsid w:val="0071493F"/>
    <w:rsid w:val="007453BC"/>
    <w:rsid w:val="00770C73"/>
    <w:rsid w:val="00775992"/>
    <w:rsid w:val="007B65FA"/>
    <w:rsid w:val="007C3B73"/>
    <w:rsid w:val="007F1F8B"/>
    <w:rsid w:val="00873886"/>
    <w:rsid w:val="00876014"/>
    <w:rsid w:val="008F024F"/>
    <w:rsid w:val="00994B26"/>
    <w:rsid w:val="0099608C"/>
    <w:rsid w:val="009A5D91"/>
    <w:rsid w:val="009B6D86"/>
    <w:rsid w:val="00A72BD6"/>
    <w:rsid w:val="00AD760B"/>
    <w:rsid w:val="00AF614B"/>
    <w:rsid w:val="00B232BA"/>
    <w:rsid w:val="00B42639"/>
    <w:rsid w:val="00BC5E9B"/>
    <w:rsid w:val="00BD769D"/>
    <w:rsid w:val="00BD7818"/>
    <w:rsid w:val="00C21B28"/>
    <w:rsid w:val="00C4582E"/>
    <w:rsid w:val="00CB708C"/>
    <w:rsid w:val="00CE4532"/>
    <w:rsid w:val="00D25334"/>
    <w:rsid w:val="00D3550F"/>
    <w:rsid w:val="00D65CA9"/>
    <w:rsid w:val="00D758A8"/>
    <w:rsid w:val="00DF228F"/>
    <w:rsid w:val="00E94057"/>
    <w:rsid w:val="00EE52AA"/>
    <w:rsid w:val="00F122EC"/>
    <w:rsid w:val="00F71FEB"/>
    <w:rsid w:val="00F81197"/>
    <w:rsid w:val="00FB1B47"/>
    <w:rsid w:val="00FB2BA7"/>
    <w:rsid w:val="02F0175E"/>
    <w:rsid w:val="05880374"/>
    <w:rsid w:val="065B15E4"/>
    <w:rsid w:val="083245C7"/>
    <w:rsid w:val="09DF42DA"/>
    <w:rsid w:val="0E2A585E"/>
    <w:rsid w:val="0F8E6586"/>
    <w:rsid w:val="1034712E"/>
    <w:rsid w:val="12BF6A40"/>
    <w:rsid w:val="142D0BA4"/>
    <w:rsid w:val="14553B17"/>
    <w:rsid w:val="18095344"/>
    <w:rsid w:val="19414DBA"/>
    <w:rsid w:val="1B8B42C2"/>
    <w:rsid w:val="1D9B6A3E"/>
    <w:rsid w:val="1D9D1F43"/>
    <w:rsid w:val="1EFB7D4B"/>
    <w:rsid w:val="207D1926"/>
    <w:rsid w:val="24575689"/>
    <w:rsid w:val="28E03E9F"/>
    <w:rsid w:val="2902261B"/>
    <w:rsid w:val="29714AF7"/>
    <w:rsid w:val="2A841F18"/>
    <w:rsid w:val="2D1759B5"/>
    <w:rsid w:val="2F8A246F"/>
    <w:rsid w:val="42BF647C"/>
    <w:rsid w:val="466E6AA9"/>
    <w:rsid w:val="4989333F"/>
    <w:rsid w:val="4B320132"/>
    <w:rsid w:val="4EDA4123"/>
    <w:rsid w:val="509E1DC6"/>
    <w:rsid w:val="50C57353"/>
    <w:rsid w:val="55456CB4"/>
    <w:rsid w:val="5A252C10"/>
    <w:rsid w:val="5AEB60A3"/>
    <w:rsid w:val="5D8270C0"/>
    <w:rsid w:val="5F9B5E70"/>
    <w:rsid w:val="65FA13F5"/>
    <w:rsid w:val="66FB2E31"/>
    <w:rsid w:val="69012A9A"/>
    <w:rsid w:val="6C0528A2"/>
    <w:rsid w:val="6DC74D89"/>
    <w:rsid w:val="721E46BD"/>
    <w:rsid w:val="76C75AEF"/>
    <w:rsid w:val="78635B64"/>
    <w:rsid w:val="791505C8"/>
    <w:rsid w:val="7A7C053D"/>
    <w:rsid w:val="7B14665D"/>
    <w:rsid w:val="7C9E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numPr>
        <w:ilvl w:val="0"/>
        <w:numId w:val="1"/>
      </w:numPr>
      <w:spacing w:line="360" w:lineRule="auto"/>
      <w:outlineLvl w:val="1"/>
    </w:pPr>
    <w:rPr>
      <w:rFonts w:hint="default" w:ascii="宋体" w:hAnsi="宋体" w:eastAsia="宋体" w:cs="Times New Roman"/>
      <w:color w:val="auto"/>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1"/>
    <w:link w:val="21"/>
    <w:qFormat/>
    <w:uiPriority w:val="34"/>
    <w:pPr>
      <w:ind w:firstLine="420"/>
    </w:pPr>
  </w:style>
  <w:style w:type="paragraph" w:styleId="5">
    <w:name w:val="annotation text"/>
    <w:basedOn w:val="1"/>
    <w:link w:val="35"/>
    <w:semiHidden/>
    <w:unhideWhenUsed/>
    <w:qFormat/>
    <w:uiPriority w:val="99"/>
    <w:pPr>
      <w:jc w:val="left"/>
    </w:pPr>
  </w:style>
  <w:style w:type="paragraph" w:styleId="6">
    <w:name w:val="Body Text"/>
    <w:basedOn w:val="1"/>
    <w:link w:val="29"/>
    <w:semiHidden/>
    <w:unhideWhenUsed/>
    <w:qFormat/>
    <w:uiPriority w:val="99"/>
    <w:pPr>
      <w:spacing w:after="120"/>
    </w:pPr>
    <w:rPr>
      <w:rFonts w:hint="default" w:ascii="Calibri" w:hAnsi="Calibri" w:eastAsia="宋体" w:cs="Times New Roman"/>
      <w:color w:val="auto"/>
      <w:szCs w:val="22"/>
    </w:rPr>
  </w:style>
  <w:style w:type="paragraph" w:styleId="7">
    <w:name w:val="Body Text Indent"/>
    <w:basedOn w:val="1"/>
    <w:link w:val="32"/>
    <w:semiHidden/>
    <w:unhideWhenUsed/>
    <w:qFormat/>
    <w:uiPriority w:val="99"/>
    <w:pPr>
      <w:spacing w:after="120"/>
      <w:ind w:left="420" w:leftChars="200"/>
    </w:pPr>
    <w:rPr>
      <w:rFonts w:hint="default" w:ascii="Calibri" w:hAnsi="Calibri" w:eastAsia="宋体" w:cs="Times New Roman"/>
      <w:color w:val="auto"/>
      <w:szCs w:val="22"/>
    </w:rPr>
  </w:style>
  <w:style w:type="paragraph" w:styleId="8">
    <w:name w:val="Block Text"/>
    <w:basedOn w:val="1"/>
    <w:qFormat/>
    <w:uiPriority w:val="0"/>
    <w:pPr>
      <w:autoSpaceDE w:val="0"/>
      <w:autoSpaceDN w:val="0"/>
      <w:adjustRightInd w:val="0"/>
      <w:ind w:left="256" w:right="6" w:firstLine="624" w:firstLineChars="200"/>
    </w:pPr>
    <w:rPr>
      <w:rFonts w:eastAsia="仿宋_GB2312"/>
      <w:kern w:val="0"/>
      <w:sz w:val="28"/>
      <w:szCs w:val="20"/>
    </w:rPr>
  </w:style>
  <w:style w:type="paragraph" w:styleId="9">
    <w:name w:val="Plain Text"/>
    <w:basedOn w:val="1"/>
    <w:qFormat/>
    <w:uiPriority w:val="0"/>
    <w:pPr>
      <w:ind w:left="28" w:firstLine="420"/>
    </w:pPr>
    <w:rPr>
      <w:rFonts w:ascii="宋体" w:hAnsi="Courier New"/>
      <w:kern w:val="0"/>
      <w:sz w:val="20"/>
      <w:szCs w:val="20"/>
    </w:rPr>
  </w:style>
  <w:style w:type="paragraph" w:styleId="10">
    <w:name w:val="Balloon Text"/>
    <w:basedOn w:val="1"/>
    <w:link w:val="34"/>
    <w:semiHidden/>
    <w:unhideWhenUsed/>
    <w:qFormat/>
    <w:uiPriority w:val="99"/>
    <w:rPr>
      <w:sz w:val="18"/>
      <w:szCs w:val="18"/>
    </w:rPr>
  </w:style>
  <w:style w:type="paragraph" w:styleId="11">
    <w:name w:val="footer"/>
    <w:link w:val="20"/>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12">
    <w:name w:val="header"/>
    <w:basedOn w:val="1"/>
    <w:link w:val="25"/>
    <w:unhideWhenUsed/>
    <w:qFormat/>
    <w:uiPriority w:val="99"/>
    <w:pPr>
      <w:tabs>
        <w:tab w:val="center" w:pos="4153"/>
        <w:tab w:val="right" w:pos="8306"/>
      </w:tabs>
      <w:snapToGrid w:val="0"/>
      <w:jc w:val="center"/>
    </w:pPr>
    <w:rPr>
      <w:sz w:val="18"/>
      <w:szCs w:val="18"/>
    </w:rPr>
  </w:style>
  <w:style w:type="paragraph" w:styleId="13">
    <w:name w:val="annotation subject"/>
    <w:basedOn w:val="5"/>
    <w:next w:val="5"/>
    <w:link w:val="36"/>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table" w:customStyle="1" w:styleId="19">
    <w:name w:val="Table Normal"/>
    <w:qFormat/>
    <w:uiPriority w:val="0"/>
    <w:tblPr>
      <w:tblCellMar>
        <w:top w:w="0" w:type="dxa"/>
        <w:left w:w="0" w:type="dxa"/>
        <w:bottom w:w="0" w:type="dxa"/>
        <w:right w:w="0" w:type="dxa"/>
      </w:tblCellMar>
    </w:tblPr>
  </w:style>
  <w:style w:type="character" w:customStyle="1" w:styleId="20">
    <w:name w:val="页脚 字符"/>
    <w:basedOn w:val="16"/>
    <w:link w:val="11"/>
    <w:qFormat/>
    <w:uiPriority w:val="0"/>
    <w:rPr>
      <w:rFonts w:ascii="Calibri" w:hAnsi="Calibri" w:eastAsia="Arial Unicode MS" w:cs="Arial Unicode MS"/>
      <w:color w:val="000000"/>
      <w:sz w:val="18"/>
      <w:szCs w:val="18"/>
      <w:u w:color="000000"/>
    </w:rPr>
  </w:style>
  <w:style w:type="character" w:customStyle="1" w:styleId="21">
    <w:name w:val="列表段落 字符"/>
    <w:link w:val="2"/>
    <w:qFormat/>
    <w:locked/>
    <w:uiPriority w:val="34"/>
    <w:rPr>
      <w:rFonts w:ascii="Arial Unicode MS" w:hAnsi="Arial Unicode MS" w:eastAsia="Arial Unicode MS" w:cs="Arial Unicode MS"/>
      <w:color w:val="000000"/>
      <w:szCs w:val="21"/>
      <w:u w:color="000000"/>
    </w:rPr>
  </w:style>
  <w:style w:type="paragraph" w:styleId="2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_Style 2"/>
    <w:basedOn w:val="1"/>
    <w:qFormat/>
    <w:uiPriority w:val="34"/>
    <w:pPr>
      <w:widowControl/>
      <w:ind w:firstLine="420" w:firstLineChars="200"/>
      <w:jc w:val="left"/>
    </w:pPr>
    <w:rPr>
      <w:rFonts w:hint="default" w:ascii="宋体" w:hAnsi="宋体" w:eastAsia="宋体" w:cs="宋体"/>
      <w:color w:val="auto"/>
      <w:kern w:val="0"/>
      <w:sz w:val="24"/>
      <w:szCs w:val="24"/>
    </w:rPr>
  </w:style>
  <w:style w:type="table" w:customStyle="1" w:styleId="24">
    <w:name w:val="Normal Table0"/>
    <w:qFormat/>
    <w:uiPriority w:val="0"/>
    <w:tblPr>
      <w:tblCellMar>
        <w:top w:w="0" w:type="dxa"/>
        <w:left w:w="0" w:type="dxa"/>
        <w:bottom w:w="0" w:type="dxa"/>
        <w:right w:w="0" w:type="dxa"/>
      </w:tblCellMar>
    </w:tblPr>
  </w:style>
  <w:style w:type="character" w:customStyle="1" w:styleId="25">
    <w:name w:val="页眉 字符"/>
    <w:basedOn w:val="16"/>
    <w:link w:val="12"/>
    <w:qFormat/>
    <w:uiPriority w:val="99"/>
    <w:rPr>
      <w:rFonts w:ascii="Arial Unicode MS" w:hAnsi="Arial Unicode MS" w:eastAsia="Arial Unicode MS" w:cs="Arial Unicode MS"/>
      <w:color w:val="000000"/>
      <w:sz w:val="18"/>
      <w:szCs w:val="18"/>
      <w:u w:color="000000"/>
    </w:rPr>
  </w:style>
  <w:style w:type="character" w:customStyle="1" w:styleId="26">
    <w:name w:val="未处理的提及1"/>
    <w:basedOn w:val="16"/>
    <w:semiHidden/>
    <w:unhideWhenUsed/>
    <w:qFormat/>
    <w:uiPriority w:val="99"/>
    <w:rPr>
      <w:color w:val="605E5C"/>
      <w:shd w:val="clear" w:color="auto" w:fill="E1DFDD"/>
    </w:rPr>
  </w:style>
  <w:style w:type="character" w:customStyle="1" w:styleId="27">
    <w:name w:val="标题 2 字符"/>
    <w:basedOn w:val="16"/>
    <w:link w:val="4"/>
    <w:qFormat/>
    <w:uiPriority w:val="0"/>
    <w:rPr>
      <w:rFonts w:ascii="宋体" w:hAnsi="宋体" w:eastAsia="宋体" w:cs="Times New Roman"/>
      <w:sz w:val="24"/>
      <w:szCs w:val="21"/>
    </w:rPr>
  </w:style>
  <w:style w:type="character" w:customStyle="1" w:styleId="28">
    <w:name w:val="标题 1 字符"/>
    <w:basedOn w:val="16"/>
    <w:link w:val="3"/>
    <w:qFormat/>
    <w:uiPriority w:val="9"/>
    <w:rPr>
      <w:rFonts w:ascii="Arial Unicode MS" w:hAnsi="Arial Unicode MS" w:eastAsia="Arial Unicode MS" w:cs="Arial Unicode MS"/>
      <w:b/>
      <w:bCs/>
      <w:color w:val="000000"/>
      <w:kern w:val="44"/>
      <w:sz w:val="44"/>
      <w:szCs w:val="44"/>
      <w:u w:color="000000"/>
    </w:rPr>
  </w:style>
  <w:style w:type="character" w:customStyle="1" w:styleId="29">
    <w:name w:val="正文文本 字符"/>
    <w:basedOn w:val="16"/>
    <w:link w:val="6"/>
    <w:semiHidden/>
    <w:qFormat/>
    <w:uiPriority w:val="99"/>
    <w:rPr>
      <w:rFonts w:ascii="Calibri" w:hAnsi="Calibri" w:eastAsia="宋体" w:cs="Times New Roman"/>
    </w:rPr>
  </w:style>
  <w:style w:type="paragraph" w:customStyle="1" w:styleId="30">
    <w:name w:val="正文文字3"/>
    <w:basedOn w:val="6"/>
    <w:qFormat/>
    <w:uiPriority w:val="0"/>
    <w:pPr>
      <w:adjustRightInd w:val="0"/>
      <w:spacing w:after="0" w:line="360" w:lineRule="atLeast"/>
      <w:ind w:left="30" w:leftChars="30" w:right="30" w:rightChars="30"/>
      <w:textAlignment w:val="baseline"/>
    </w:pPr>
    <w:rPr>
      <w:rFonts w:ascii="Times New Roman" w:hAnsi="Times New Roman"/>
      <w:kern w:val="0"/>
      <w:szCs w:val="20"/>
      <w:lang w:val="zh-CN"/>
    </w:rPr>
  </w:style>
  <w:style w:type="paragraph" w:customStyle="1" w:styleId="31">
    <w:name w:val="正文文字1"/>
    <w:basedOn w:val="6"/>
    <w:qFormat/>
    <w:uiPriority w:val="0"/>
    <w:pPr>
      <w:adjustRightInd w:val="0"/>
      <w:spacing w:after="0" w:line="360" w:lineRule="atLeast"/>
      <w:ind w:left="72" w:leftChars="30" w:right="72" w:rightChars="30"/>
      <w:textAlignment w:val="baseline"/>
    </w:pPr>
    <w:rPr>
      <w:rFonts w:ascii="Times New Roman" w:hAnsi="Times New Roman"/>
      <w:kern w:val="0"/>
      <w:szCs w:val="20"/>
      <w:lang w:val="zh-CN"/>
    </w:rPr>
  </w:style>
  <w:style w:type="character" w:customStyle="1" w:styleId="32">
    <w:name w:val="正文文本缩进 字符"/>
    <w:basedOn w:val="16"/>
    <w:link w:val="7"/>
    <w:semiHidden/>
    <w:qFormat/>
    <w:uiPriority w:val="99"/>
    <w:rPr>
      <w:rFonts w:ascii="Calibri" w:hAnsi="Calibri" w:eastAsia="宋体" w:cs="Times New Roman"/>
    </w:rPr>
  </w:style>
  <w:style w:type="paragraph" w:customStyle="1" w:styleId="33">
    <w:name w:val="_Style 31"/>
    <w:basedOn w:val="1"/>
    <w:next w:val="2"/>
    <w:qFormat/>
    <w:uiPriority w:val="34"/>
    <w:pPr>
      <w:widowControl/>
      <w:ind w:firstLine="420" w:firstLineChars="200"/>
      <w:jc w:val="left"/>
    </w:pPr>
    <w:rPr>
      <w:rFonts w:ascii="宋体" w:hAnsi="宋体" w:cs="宋体"/>
      <w:kern w:val="0"/>
      <w:sz w:val="24"/>
      <w:szCs w:val="24"/>
    </w:rPr>
  </w:style>
  <w:style w:type="character" w:customStyle="1" w:styleId="34">
    <w:name w:val="批注框文本 字符"/>
    <w:basedOn w:val="16"/>
    <w:link w:val="10"/>
    <w:semiHidden/>
    <w:qFormat/>
    <w:uiPriority w:val="99"/>
    <w:rPr>
      <w:rFonts w:ascii="Arial Unicode MS" w:hAnsi="Arial Unicode MS" w:eastAsia="Arial Unicode MS" w:cs="Arial Unicode MS"/>
      <w:color w:val="000000"/>
      <w:kern w:val="2"/>
      <w:sz w:val="18"/>
      <w:szCs w:val="18"/>
      <w:u w:color="000000"/>
    </w:rPr>
  </w:style>
  <w:style w:type="character" w:customStyle="1" w:styleId="35">
    <w:name w:val="批注文字 字符"/>
    <w:basedOn w:val="16"/>
    <w:link w:val="5"/>
    <w:semiHidden/>
    <w:qFormat/>
    <w:uiPriority w:val="99"/>
    <w:rPr>
      <w:rFonts w:ascii="Arial Unicode MS" w:hAnsi="Arial Unicode MS" w:eastAsia="Arial Unicode MS" w:cs="Arial Unicode MS"/>
      <w:color w:val="000000"/>
      <w:kern w:val="2"/>
      <w:sz w:val="21"/>
      <w:szCs w:val="21"/>
      <w:u w:color="000000"/>
    </w:rPr>
  </w:style>
  <w:style w:type="character" w:customStyle="1" w:styleId="36">
    <w:name w:val="批注主题 字符"/>
    <w:basedOn w:val="35"/>
    <w:link w:val="13"/>
    <w:semiHidden/>
    <w:qFormat/>
    <w:uiPriority w:val="99"/>
    <w:rPr>
      <w:rFonts w:ascii="Arial Unicode MS" w:hAnsi="Arial Unicode MS" w:eastAsia="Arial Unicode MS" w:cs="Arial Unicode MS"/>
      <w:b/>
      <w:bCs/>
      <w:color w:val="000000"/>
      <w:kern w:val="2"/>
      <w:sz w:val="21"/>
      <w:szCs w:val="21"/>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A6C0-59FC-4DD3-9E34-004B073CDD8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3788</Words>
  <Characters>3892</Characters>
  <Lines>42</Lines>
  <Paragraphs>11</Paragraphs>
  <TotalTime>303</TotalTime>
  <ScaleCrop>false</ScaleCrop>
  <LinksUpToDate>false</LinksUpToDate>
  <CharactersWithSpaces>3903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2025-09-11T12:36:00Z</dcterms:created>
  <dc:creator>cheng kai</dc:creator>
  <cp:lastModifiedBy>王宁宁</cp:lastModifiedBy>
  <cp:lastPrinted>2023-06-21T08:06:00Z</cp:lastPrinted>
  <dcterms:modified xsi:type="dcterms:W3CDTF">2025-09-19T06:27:34Z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03302D80A4754F7F918B8B07D088345E_13</vt:lpwstr>
  </property>
  <property fmtid="{D5CDD505-2E9C-101B-9397-08002B2CF9AE}" pid="4" name="KSOTemplateDocerSaveRecord">
    <vt:lpwstr>eyJoZGlkIjoiMDIzY2JjYzgxOWVhNDgyYmRhN2UzZWIxMWE1MGQ1OTIiLCJ1c2VySWQiOiIxNjg3MDQ0MTQ0In0=</vt:lpwstr>
  </property>
</Properties>
</file>