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D70B6">
      <w:pPr>
        <w:pStyle w:val="7"/>
        <w:widowControl/>
        <w:spacing w:after="120" w:line="360" w:lineRule="auto"/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上海外国语大学虹口校区教学区食堂二楼面点区</w:t>
      </w:r>
    </w:p>
    <w:p w14:paraId="5E595433">
      <w:pPr>
        <w:pStyle w:val="7"/>
        <w:widowControl/>
        <w:spacing w:after="120" w:line="360" w:lineRule="auto"/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防火卷帘门采购项目比选需求文件</w:t>
      </w:r>
    </w:p>
    <w:p w14:paraId="615685AE">
      <w:pPr>
        <w:pStyle w:val="7"/>
        <w:widowControl/>
        <w:spacing w:after="120" w:line="360" w:lineRule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一、项目预算</w:t>
      </w:r>
    </w:p>
    <w:p w14:paraId="33315E26">
      <w:pPr>
        <w:pStyle w:val="7"/>
        <w:widowControl/>
        <w:spacing w:after="120" w:line="360" w:lineRule="auto"/>
        <w:ind w:firstLine="562" w:firstLineChars="20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本项目预算：人民币¥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37200</w:t>
      </w:r>
      <w:r>
        <w:rPr>
          <w:rFonts w:hint="eastAsia" w:ascii="仿宋" w:hAnsi="仿宋" w:eastAsia="仿宋" w:cs="仿宋"/>
          <w:b/>
          <w:sz w:val="28"/>
          <w:szCs w:val="28"/>
        </w:rPr>
        <w:t>.00（大写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叁万柒仟贰佰元整</w:t>
      </w:r>
      <w:r>
        <w:rPr>
          <w:rFonts w:hint="eastAsia" w:ascii="仿宋" w:hAnsi="仿宋" w:eastAsia="仿宋" w:cs="仿宋"/>
          <w:b/>
          <w:sz w:val="28"/>
          <w:szCs w:val="28"/>
        </w:rPr>
        <w:t>），报价需包含设备采购、运输、安装辅材、调试及配套电源及售后服务等一切费用。供应商报价不得超过项目预算，否则视为无效响应。</w:t>
      </w:r>
    </w:p>
    <w:p w14:paraId="7C06A256">
      <w:pPr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技术参数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（▲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为关键参数，其余为一般参数）</w:t>
      </w:r>
    </w:p>
    <w:p w14:paraId="4410AA5B">
      <w:pPr>
        <w:ind w:left="0" w:leftChars="0" w:firstLine="420" w:firstLineChars="150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1.▲卷帘门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规格：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每个档口尺寸5300*3700，上下浮动不超过5%，具有消防验收的全部手续资料，并提供详尽的技术参数及功能介绍。</w:t>
      </w:r>
    </w:p>
    <w:p w14:paraId="190ED917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2.▲卷帘类型：特级防火卷帘（无机双轨双帘）；</w:t>
      </w:r>
    </w:p>
    <w:p w14:paraId="0A5AE423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3.▲耐火性能：耐火完整性≥3.00h，耐火隔热性≥3.00h；</w:t>
      </w:r>
    </w:p>
    <w:p w14:paraId="40176C9B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4.▲帘体结构：双轨道、双层无机防火帘面，中间设置空气隔热层；</w:t>
      </w:r>
    </w:p>
    <w:p w14:paraId="522571DA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5.导轨：冷轧钢板折弯成型，厚度≥1.5mm；导轨内加装防火防烟密封条，有效阻挡烟气窜漏；导轨预留膨胀螺栓安装孔。</w:t>
      </w:r>
    </w:p>
    <w:p w14:paraId="229C2E44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6.卷轴：无缝钢管，壁厚≥2.0mm，表面防锈防腐处理。</w:t>
      </w:r>
    </w:p>
    <w:p w14:paraId="0041F17E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7.驱动电机（防火卷帘专用卷门机）</w:t>
      </w:r>
    </w:p>
    <w:p w14:paraId="74164336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1）具备 CCCF 认证防火卷帘专用电机；</w:t>
      </w:r>
    </w:p>
    <w:p w14:paraId="6624986A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2）带电磁刹车、上下机械限位；断电可手动拉链启闭；</w:t>
      </w:r>
    </w:p>
    <w:p w14:paraId="0A8AFEED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3）工作电压 AC380V；具备过热保护。</w:t>
      </w:r>
    </w:p>
    <w:p w14:paraId="51AE1920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8.电控系统（防火卷帘控制器）</w:t>
      </w:r>
    </w:p>
    <w:p w14:paraId="77F9B721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1）配套专用防火卷帘控制箱，取得消防 3C 认证；</w:t>
      </w:r>
    </w:p>
    <w:p w14:paraId="014AECB8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2）功能：自动、手动、消防联动三种控制模式，配备温控释放装置（73℃熔断），火灾断电后卷帘依靠自重下降</w:t>
      </w:r>
    </w:p>
    <w:p w14:paraId="760DAB38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9.密封要求：卷帘底部配备防火防烟底梁；导轨两端、帘面侧边设防火密封条，满足防烟要求；</w:t>
      </w:r>
    </w:p>
    <w:p w14:paraId="5D8E983D">
      <w:pPr>
        <w:ind w:firstLine="560" w:firstLine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10.运行速度：下降速度 2～6m/min；上升速度 3～9m/min；</w:t>
      </w:r>
    </w:p>
    <w:p w14:paraId="2D10AE9A">
      <w:pPr>
        <w:ind w:firstLine="562" w:firstLineChars="200"/>
        <w:rPr>
          <w:rFonts w:hint="default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备注：▲标注参数为关键参数，严禁负偏离。若发生负偏离，将直接视为无效响应。</w:t>
      </w:r>
    </w:p>
    <w:p w14:paraId="7841A3A0"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、</w:t>
      </w:r>
      <w:r>
        <w:rPr>
          <w:rFonts w:hint="eastAsia" w:ascii="仿宋" w:hAnsi="仿宋" w:eastAsia="仿宋" w:cs="仿宋"/>
          <w:b/>
          <w:sz w:val="28"/>
          <w:szCs w:val="28"/>
        </w:rPr>
        <w:t>维保服务要求</w:t>
      </w:r>
    </w:p>
    <w:p w14:paraId="62FB2F14">
      <w:pPr>
        <w:ind w:left="0" w:leftChars="0" w:firstLine="420" w:firstLineChars="15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1.质保期：供应商须提供不少于3年的免费质保期（自验收合格之日起计算），质保期内因设备质量问题造成的故障和零部件损坏，供应商应无条件免费维修或更换。</w:t>
      </w:r>
    </w:p>
    <w:p w14:paraId="5C0438AD">
      <w:pPr>
        <w:ind w:left="0" w:leftChars="0" w:firstLine="420" w:firstLineChars="15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售后服务响应：设备出现故障，供应商须在2小时内予以响应；如需现场处理，应在24小时内派员到达现场，48小时内排除故障。</w:t>
      </w:r>
    </w:p>
    <w:p w14:paraId="5347F81F">
      <w:pPr>
        <w:ind w:left="0" w:leftChars="0" w:firstLine="420" w:firstLineChars="15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3.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技术培训：供应商须无偿向采购人提供设备操作及日常维护培训。</w:t>
      </w:r>
    </w:p>
    <w:p w14:paraId="08DFD7A3">
      <w:pPr>
        <w:ind w:left="0" w:leftChars="0" w:firstLine="420" w:firstLineChars="15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4.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备件保障：质保期满后，供应商应长期以优惠价格提供设备维修所需零配件及易损件。</w:t>
      </w:r>
    </w:p>
    <w:p w14:paraId="50105046">
      <w:pPr>
        <w:ind w:left="0" w:leftChars="0" w:firstLine="420" w:firstLineChars="150"/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  <w:lang w:val="en-US" w:eastAsia="zh-CN"/>
        </w:rPr>
        <w:t>5.</w:t>
      </w:r>
      <w:r>
        <w:rPr>
          <w:rFonts w:hint="eastAsia" w:ascii="仿宋" w:hAnsi="仿宋" w:eastAsia="仿宋" w:cs="仿宋"/>
          <w:color w:val="0F1115"/>
          <w:sz w:val="28"/>
          <w:szCs w:val="28"/>
          <w:shd w:val="clear" w:color="auto" w:fill="FFFFFF"/>
        </w:rPr>
        <w:t>定期巡检：质保期内，供应商应每半年至少进行一次免费巡检维护。</w:t>
      </w:r>
    </w:p>
    <w:p w14:paraId="0F9B3F5C">
      <w:pPr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sz w:val="28"/>
          <w:szCs w:val="28"/>
        </w:rPr>
        <w:t>、评审办法</w:t>
      </w:r>
    </w:p>
    <w:p w14:paraId="6F44411A">
      <w:pPr>
        <w:pStyle w:val="2"/>
        <w:numPr>
          <w:ilvl w:val="1"/>
          <w:numId w:val="0"/>
        </w:numPr>
        <w:ind w:firstLine="560" w:firstLineChars="200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</w:rPr>
        <w:t>比选评分组成为价格分40分，技术分</w:t>
      </w:r>
      <w:bookmarkStart w:id="0" w:name="_GoBack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 w:cs="仿宋"/>
          <w:kern w:val="2"/>
          <w:sz w:val="28"/>
          <w:szCs w:val="28"/>
        </w:rPr>
        <w:t>分，商务部分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/>
        </w:rPr>
        <w:t>38</w:t>
      </w:r>
      <w:bookmarkEnd w:id="0"/>
      <w:r>
        <w:rPr>
          <w:rFonts w:hint="eastAsia" w:ascii="仿宋" w:hAnsi="仿宋" w:eastAsia="仿宋" w:cs="仿宋"/>
          <w:kern w:val="2"/>
          <w:sz w:val="28"/>
          <w:szCs w:val="28"/>
        </w:rPr>
        <w:t>分。学校对收到合格的报名材料和响应文件组织评审，根据评审结果，将把合同授予得分最高的响应单位。</w:t>
      </w:r>
    </w:p>
    <w:p w14:paraId="0A6F032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本项目采用综合评分法，总分100分，具体分配如下：</w:t>
      </w:r>
    </w:p>
    <w:tbl>
      <w:tblPr>
        <w:tblStyle w:val="9"/>
        <w:tblW w:w="91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0"/>
        <w:gridCol w:w="463"/>
        <w:gridCol w:w="7269"/>
      </w:tblGrid>
      <w:tr w14:paraId="3B11B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EF792A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序号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BB3D47F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评审因素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9440BC2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满分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28D856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评分标准（满足得满分，不满足得0分，除非另有说明）</w:t>
            </w:r>
          </w:p>
        </w:tc>
      </w:tr>
      <w:tr w14:paraId="3EF2A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5804030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1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FC4D330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价格部分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E11C60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40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95E83A8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（基准价法）</w:t>
            </w:r>
          </w:p>
          <w:p w14:paraId="5C56D05D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满足实质性要求的最低有效报价为评审基准价，得40分。</w:t>
            </w:r>
          </w:p>
          <w:p w14:paraId="2B758D32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其他报价得分=（评审基准价÷投标报价）×40（计算结果保留两位小数）。报价超过项目预算的，视为无效响应。</w:t>
            </w:r>
          </w:p>
        </w:tc>
      </w:tr>
      <w:tr w14:paraId="4E1B0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52E0FF9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C7362B0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技术部分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3346649">
            <w:pPr>
              <w:jc w:val="center"/>
              <w:rPr>
                <w:rFonts w:hint="default" w:ascii="仿宋" w:hAnsi="仿宋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22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0FDF266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4071D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1550BC8A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2.1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C55030E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参数响应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D81B448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12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3BDEA5D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逐条响应需求文件技术参数，评分如下：</w:t>
            </w:r>
          </w:p>
          <w:p w14:paraId="24785723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关键参数（▲）已作符合性审查。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一般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参数全部满足得8分，每负偏离1项扣2分，扣完为止；</w:t>
            </w:r>
          </w:p>
          <w:p w14:paraId="3C262A86">
            <w:pPr>
              <w:jc w:val="left"/>
              <w:rPr>
                <w:rFonts w:hint="default" w:ascii="仿宋" w:hAnsi="仿宋" w:eastAsia="仿宋" w:cs="仿宋"/>
                <w:color w:val="000000"/>
                <w:kern w:val="2"/>
                <w:sz w:val="22"/>
                <w:szCs w:val="24"/>
                <w:lang w:val="en-US" w:eastAsia="zh-CN" w:bidi="ar-SA"/>
              </w:rPr>
            </w:pPr>
          </w:p>
        </w:tc>
      </w:tr>
      <w:tr w14:paraId="11BD2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A27E64A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2.2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34B32A9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  <w:t>安装方案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31330B7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  <w:t>4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6CED835">
            <w:pPr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highlight w:val="none"/>
              </w:rPr>
              <w:t>方案必须包含：①施工进度表（总工期≤3天）；②防火卷帘门测试方案；③现场安全防护措施；④安装辅材及配套电源实施方案。缺一项扣1分，扣完为止。</w:t>
            </w:r>
          </w:p>
        </w:tc>
      </w:tr>
      <w:tr w14:paraId="60BCE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B9EE55A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2.3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046EDBC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应急预案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57B84B8B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6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A8D4078">
            <w:pPr>
              <w:jc w:val="left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预案包含“燃气泄漏”和“火灾”两类场景的处置流程，且留有24小时应急电话的得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满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分，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每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缺一项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扣2分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。</w:t>
            </w:r>
          </w:p>
        </w:tc>
      </w:tr>
      <w:tr w14:paraId="2AFA4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78AFE31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9D5F68F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商务部分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0261E0E">
            <w:pPr>
              <w:jc w:val="center"/>
              <w:rPr>
                <w:rFonts w:hint="default" w:ascii="仿宋" w:hAnsi="仿宋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38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A266B8B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</w:tc>
      </w:tr>
      <w:tr w14:paraId="7C3AE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1E08EB6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3.1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F637A48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质保期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096423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6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B419A34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1.承诺免费质保期≥3年得3分；</w:t>
            </w:r>
          </w:p>
          <w:p w14:paraId="04E8FD19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2.每增加1年加1分，最高加3分（即6年及以上得满分）。</w:t>
            </w:r>
          </w:p>
          <w:p w14:paraId="363B7F9A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（需提供承诺函）</w:t>
            </w:r>
          </w:p>
        </w:tc>
      </w:tr>
      <w:tr w14:paraId="1F874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51EAA27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3.2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3EBD395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售后响应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B3AD67B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12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AA9B3BF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承诺同时满足以下三点得12分，不满足一点扣4分：</w:t>
            </w:r>
          </w:p>
          <w:p w14:paraId="39FC4CD9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1.2小时内电话响应；</w:t>
            </w:r>
          </w:p>
          <w:p w14:paraId="7A34304A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2.24小时内上门；</w:t>
            </w:r>
          </w:p>
          <w:p w14:paraId="54D30CCF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3.48小时内修复（若因特殊原因无法按时修复，须提供备用设备保障使用）。</w:t>
            </w:r>
          </w:p>
          <w:p w14:paraId="56861860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（需提供承诺函）</w:t>
            </w:r>
          </w:p>
        </w:tc>
      </w:tr>
      <w:tr w14:paraId="4E518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43C688B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3.3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26085E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维保增值服务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4D0771AB">
            <w:pPr>
              <w:jc w:val="center"/>
              <w:rPr>
                <w:rFonts w:hint="default" w:ascii="仿宋" w:hAnsi="仿宋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8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C773566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</w:p>
          <w:p w14:paraId="175FEB28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1.质保期内每半年至少一次免费巡检维护得</w:t>
            </w:r>
            <w:r>
              <w:rPr>
                <w:rFonts w:hint="default" w:ascii="仿宋" w:hAnsi="仿宋" w:eastAsia="仿宋" w:cs="仿宋"/>
                <w:color w:val="000000"/>
                <w:sz w:val="22"/>
                <w:lang w:val="en-US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分；</w:t>
            </w:r>
          </w:p>
          <w:p w14:paraId="3CCE0A72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2.无偿提供设备操作及日常维护培训得</w:t>
            </w:r>
            <w:r>
              <w:rPr>
                <w:rFonts w:hint="default" w:ascii="仿宋" w:hAnsi="仿宋" w:eastAsia="仿宋" w:cs="仿宋"/>
                <w:color w:val="000000"/>
                <w:sz w:val="22"/>
                <w:lang w:val="en-US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分；</w:t>
            </w:r>
          </w:p>
          <w:p w14:paraId="4E4C448E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3.质保期满后长期以优惠价格提供维修零配件及易损件得</w:t>
            </w:r>
            <w:r>
              <w:rPr>
                <w:rFonts w:hint="default" w:ascii="仿宋" w:hAnsi="仿宋" w:eastAsia="仿宋" w:cs="仿宋"/>
                <w:color w:val="000000"/>
                <w:sz w:val="22"/>
                <w:lang w:val="en-US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分。</w:t>
            </w:r>
          </w:p>
          <w:p w14:paraId="71ECFD02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（需明确优惠幅度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并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提供承诺函）</w:t>
            </w:r>
          </w:p>
          <w:p w14:paraId="222C5D0B">
            <w:pPr>
              <w:jc w:val="left"/>
              <w:rPr>
                <w:rFonts w:hint="default" w:ascii="仿宋" w:hAnsi="仿宋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4.配合校方或第三方消防检测机构完成年度消防检测得2分。（需提供承诺函）</w:t>
            </w:r>
          </w:p>
        </w:tc>
      </w:tr>
      <w:tr w14:paraId="5D229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  <w:jc w:val="center"/>
        </w:trPr>
        <w:tc>
          <w:tcPr>
            <w:tcW w:w="6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EEEC038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3.4</w:t>
            </w: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CECDFC4">
            <w:pPr>
              <w:jc w:val="center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同类业绩</w:t>
            </w:r>
          </w:p>
        </w:tc>
        <w:tc>
          <w:tcPr>
            <w:tcW w:w="4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97D361C">
            <w:pPr>
              <w:jc w:val="center"/>
              <w:rPr>
                <w:rFonts w:hint="default" w:ascii="仿宋" w:hAnsi="仿宋" w:eastAsia="仿宋" w:cs="仿宋"/>
                <w:color w:val="000000"/>
                <w:sz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12</w:t>
            </w:r>
          </w:p>
        </w:tc>
        <w:tc>
          <w:tcPr>
            <w:tcW w:w="72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8C3E08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提供近三年（2023年至今）高校或事业单位食堂防火卷帘门或食堂厨房区域消防设备供货合同：</w:t>
            </w:r>
          </w:p>
          <w:p w14:paraId="7C63AC76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1.高校合同每份得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分；</w:t>
            </w:r>
          </w:p>
          <w:p w14:paraId="3E8C53BE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2.事业单位合同每份得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分；</w:t>
            </w:r>
          </w:p>
          <w:p w14:paraId="448A2A19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3.最高得</w:t>
            </w:r>
            <w:r>
              <w:rPr>
                <w:rFonts w:hint="eastAsia" w:ascii="仿宋" w:hAnsi="仿宋" w:eastAsia="仿宋" w:cs="仿宋"/>
                <w:color w:val="000000"/>
                <w:sz w:val="22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000000"/>
                <w:sz w:val="22"/>
              </w:rPr>
              <w:t>分。</w:t>
            </w:r>
          </w:p>
          <w:p w14:paraId="76244CAA">
            <w:pPr>
              <w:jc w:val="left"/>
              <w:rPr>
                <w:rFonts w:hint="eastAsia" w:ascii="仿宋" w:hAnsi="仿宋" w:eastAsia="仿宋" w:cs="仿宋"/>
                <w:color w:val="000000"/>
                <w:sz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</w:rPr>
              <w:t>（需提供合同复印件，含盖章页）</w:t>
            </w:r>
          </w:p>
        </w:tc>
      </w:tr>
    </w:tbl>
    <w:p w14:paraId="148E27BC">
      <w:pPr>
        <w:rPr>
          <w:rFonts w:hint="eastAsia" w:ascii="仿宋" w:hAnsi="仿宋" w:eastAsia="仿宋" w:cs="仿宋"/>
          <w:sz w:val="22"/>
          <w:szCs w:val="22"/>
        </w:rPr>
      </w:pPr>
    </w:p>
    <w:p w14:paraId="4EF59C33">
      <w:pPr>
        <w:rPr>
          <w:rFonts w:hint="eastAsia" w:ascii="仿宋" w:hAnsi="仿宋" w:eastAsia="仿宋" w:cs="仿宋"/>
          <w:sz w:val="22"/>
          <w:szCs w:val="22"/>
        </w:rPr>
      </w:pPr>
    </w:p>
    <w:p w14:paraId="1FF4DC5C">
      <w:pPr>
        <w:rPr>
          <w:rFonts w:hint="eastAsia" w:ascii="仿宋" w:hAnsi="仿宋" w:eastAsia="仿宋" w:cs="仿宋"/>
          <w:sz w:val="22"/>
          <w:szCs w:val="22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B"/>
    <w:multiLevelType w:val="multilevel"/>
    <w:tmpl w:val="FFFFFFFB"/>
    <w:lvl w:ilvl="0" w:tentative="0">
      <w:start w:val="1"/>
      <w:numFmt w:val="decimal"/>
      <w:lvlText w:val="%1"/>
      <w:lvlJc w:val="left"/>
      <w:rPr>
        <w:rFonts w:hint="eastAsia" w:ascii="黑体" w:hAnsi="Times New Roman" w:eastAsia="黑体"/>
        <w:sz w:val="24"/>
        <w:u w:val="none"/>
      </w:rPr>
    </w:lvl>
    <w:lvl w:ilvl="1" w:tentative="0">
      <w:start w:val="1"/>
      <w:numFmt w:val="decimal"/>
      <w:pStyle w:val="2"/>
      <w:lvlText w:val="%1.%2"/>
      <w:lvlJc w:val="left"/>
      <w:rPr>
        <w:rFonts w:hint="eastAsia" w:ascii="黑体" w:hAnsi="Times New Roman" w:eastAsia="黑体"/>
        <w:color w:val="auto"/>
        <w:sz w:val="24"/>
        <w:u w:val="none"/>
      </w:rPr>
    </w:lvl>
    <w:lvl w:ilvl="2" w:tentative="0">
      <w:start w:val="1"/>
      <w:numFmt w:val="decimal"/>
      <w:lvlText w:val="%1.%2.%3"/>
      <w:lvlJc w:val="left"/>
      <w:rPr>
        <w:rFonts w:hint="eastAsia" w:ascii="黑体" w:hAnsi="Times New Roman" w:eastAsia="黑体"/>
        <w:sz w:val="24"/>
        <w:u w:val="none"/>
      </w:rPr>
    </w:lvl>
    <w:lvl w:ilvl="3" w:tentative="0">
      <w:start w:val="1"/>
      <w:numFmt w:val="decimal"/>
      <w:lvlText w:val="%1.%2.%3.%4"/>
      <w:lvlJc w:val="left"/>
      <w:rPr>
        <w:rFonts w:hint="eastAsia" w:ascii="黑体" w:hAnsi="Times New Roman" w:eastAsia="黑体"/>
        <w:sz w:val="24"/>
        <w:u w:val="none"/>
      </w:rPr>
    </w:lvl>
    <w:lvl w:ilvl="4" w:tentative="0">
      <w:start w:val="1"/>
      <w:numFmt w:val="decimal"/>
      <w:lvlText w:val="%1.%2.%3.%4.%5"/>
      <w:lvlJc w:val="left"/>
      <w:rPr>
        <w:rFonts w:hint="eastAsia" w:ascii="黑体" w:hAnsi="Times New Roman" w:eastAsia="黑体"/>
        <w:sz w:val="24"/>
        <w:u w:val="none"/>
      </w:rPr>
    </w:lvl>
    <w:lvl w:ilvl="5" w:tentative="0">
      <w:start w:val="1"/>
      <w:numFmt w:val="decimal"/>
      <w:lvlText w:val="%1.%2.%3.%4.%5.%6"/>
      <w:lvlJc w:val="left"/>
      <w:rPr>
        <w:rFonts w:hint="eastAsia" w:ascii="黑体" w:hAnsi="Times New Roman" w:eastAsia="黑体"/>
        <w:sz w:val="24"/>
        <w:u w:val="none"/>
      </w:rPr>
    </w:lvl>
    <w:lvl w:ilvl="6" w:tentative="0">
      <w:start w:val="1"/>
      <w:numFmt w:val="decimal"/>
      <w:lvlText w:val="（%7）"/>
      <w:lvlJc w:val="left"/>
      <w:pPr>
        <w:ind w:left="1191" w:firstLine="0"/>
      </w:pPr>
      <w:rPr>
        <w:rFonts w:hint="eastAsia" w:ascii="黑体" w:hAnsi="Times New Roman" w:eastAsia="黑体"/>
        <w:sz w:val="24"/>
        <w:u w:val="none"/>
        <w:lang w:val="en-US"/>
      </w:rPr>
    </w:lvl>
    <w:lvl w:ilvl="7" w:tentative="0">
      <w:start w:val="1"/>
      <w:numFmt w:val="lowerLetter"/>
      <w:lvlText w:val="（%8）"/>
      <w:lvlJc w:val="left"/>
      <w:pPr>
        <w:ind w:left="1888" w:firstLine="0"/>
      </w:pPr>
      <w:rPr>
        <w:rFonts w:hint="eastAsia" w:ascii="黑体" w:hAnsi="Times New Roman" w:eastAsia="黑体"/>
        <w:sz w:val="24"/>
        <w:u w:val="none"/>
      </w:rPr>
    </w:lvl>
    <w:lvl w:ilvl="8" w:tentative="0">
      <w:start w:val="1"/>
      <w:numFmt w:val="lowerRoman"/>
      <w:lvlText w:val="（%9）"/>
      <w:lvlJc w:val="left"/>
      <w:pPr>
        <w:ind w:left="2591" w:firstLine="0"/>
      </w:pPr>
      <w:rPr>
        <w:rFonts w:hint="eastAsia" w:ascii="黑体" w:hAnsi="Times New Roman" w:eastAsia="黑体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72A27"/>
    <w:rsid w:val="002360D1"/>
    <w:rsid w:val="00397274"/>
    <w:rsid w:val="009A51D8"/>
    <w:rsid w:val="009E618E"/>
    <w:rsid w:val="00B368A1"/>
    <w:rsid w:val="00BD2890"/>
    <w:rsid w:val="00CE2D19"/>
    <w:rsid w:val="00FC1CBC"/>
    <w:rsid w:val="01022FA5"/>
    <w:rsid w:val="063D765A"/>
    <w:rsid w:val="26B202C3"/>
    <w:rsid w:val="295B51AB"/>
    <w:rsid w:val="2C1A5A56"/>
    <w:rsid w:val="2CF86C3A"/>
    <w:rsid w:val="30693DF8"/>
    <w:rsid w:val="334824EE"/>
    <w:rsid w:val="3B0959D2"/>
    <w:rsid w:val="4A345A25"/>
    <w:rsid w:val="4CD2382D"/>
    <w:rsid w:val="53406188"/>
    <w:rsid w:val="57BA337A"/>
    <w:rsid w:val="5AB806CF"/>
    <w:rsid w:val="6F9B7C96"/>
    <w:rsid w:val="712D77CF"/>
    <w:rsid w:val="78CD2248"/>
    <w:rsid w:val="7D81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numPr>
        <w:ilvl w:val="1"/>
        <w:numId w:val="1"/>
      </w:numPr>
      <w:adjustRightInd w:val="0"/>
      <w:spacing w:line="360" w:lineRule="atLeast"/>
      <w:textAlignment w:val="baseline"/>
      <w:outlineLvl w:val="1"/>
    </w:pPr>
    <w:rPr>
      <w:kern w:val="0"/>
      <w:sz w:val="24"/>
      <w:szCs w:val="2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qFormat/>
    <w:uiPriority w:val="0"/>
    <w:pPr>
      <w:jc w:val="left"/>
    </w:pPr>
  </w:style>
  <w:style w:type="paragraph" w:styleId="4">
    <w:name w:val="Balloon Text"/>
    <w:basedOn w:val="1"/>
    <w:link w:val="16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rPr>
      <w:sz w:val="24"/>
    </w:rPr>
  </w:style>
  <w:style w:type="paragraph" w:styleId="8">
    <w:name w:val="annotation subject"/>
    <w:basedOn w:val="3"/>
    <w:next w:val="3"/>
    <w:link w:val="15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customStyle="1" w:styleId="12">
    <w:name w:val="页眉 字符"/>
    <w:basedOn w:val="10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5">
    <w:name w:val="批注主题 字符"/>
    <w:basedOn w:val="14"/>
    <w:link w:val="8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16">
    <w:name w:val="批注框文本 字符"/>
    <w:basedOn w:val="10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926</Words>
  <Characters>1000</Characters>
  <Lines>114</Lines>
  <Paragraphs>118</Paragraphs>
  <TotalTime>18</TotalTime>
  <ScaleCrop>false</ScaleCrop>
  <LinksUpToDate>false</LinksUpToDate>
  <CharactersWithSpaces>1007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2026-07-21T09:31:00Z</dcterms:created>
  <dc:creator>任裕麒</dc:creator>
  <cp:lastModifiedBy>吴珉玥</cp:lastModifiedBy>
  <dcterms:modified xsi:type="dcterms:W3CDTF">2026-10-14T06:46:16Z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9C8E77DF131D407B8270CA4C62E4BE2F_13</vt:lpwstr>
  </property>
  <property fmtid="{D5CDD505-2E9C-101B-9397-08002B2CF9AE}" pid="4" name="KSOTemplateDocerSaveRecord">
    <vt:lpwstr>eyJoZGlkIjoiMmI0ZTc1YTI5NjFiZTI0MWExYmFiYTNmOTViOGZkMmUiLCJ1c2VySWQiOiIxNjg1MjA1NjUwIn0=</vt:lpwstr>
  </property>
</Properties>
</file>