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E12C">
      <w:pPr>
        <w:jc w:val="center"/>
        <w:rPr>
          <w:rFonts w:ascii="宋体" w:hAnsi="宋体" w:eastAsia="宋体"/>
          <w:b w:val="0"/>
          <w:bCs w:val="0"/>
          <w:sz w:val="32"/>
          <w:szCs w:val="32"/>
          <w:highlight w:val="yellow"/>
        </w:rPr>
      </w:pPr>
    </w:p>
    <w:p w14:paraId="419BF698">
      <w:pPr>
        <w:spacing w:line="360" w:lineRule="auto"/>
        <w:jc w:val="center"/>
        <w:rPr>
          <w:rFonts w:hint="eastAsia" w:ascii="Calibri" w:hAnsi="Calibri"/>
          <w:b/>
          <w:sz w:val="32"/>
          <w:szCs w:val="32"/>
          <w:highlight w:val="none"/>
        </w:rPr>
      </w:pPr>
      <w:r>
        <w:rPr>
          <w:rFonts w:hint="eastAsia" w:ascii="Calibri" w:hAnsi="Calibri"/>
          <w:b/>
          <w:sz w:val="32"/>
          <w:szCs w:val="32"/>
          <w:highlight w:val="none"/>
        </w:rPr>
        <w:t>上海外国语大学</w:t>
      </w:r>
      <w:r>
        <w:rPr>
          <w:rFonts w:hint="eastAsia" w:ascii="Calibri" w:hAnsi="Calibri"/>
          <w:b/>
          <w:sz w:val="32"/>
          <w:szCs w:val="32"/>
          <w:highlight w:val="none"/>
          <w:lang w:val="en-US" w:eastAsia="zh-CN"/>
        </w:rPr>
        <w:t>虹口</w:t>
      </w:r>
      <w:r>
        <w:rPr>
          <w:rFonts w:hint="eastAsia" w:ascii="Calibri" w:hAnsi="Calibri"/>
          <w:b/>
          <w:sz w:val="32"/>
          <w:szCs w:val="32"/>
          <w:highlight w:val="none"/>
        </w:rPr>
        <w:t>校区</w:t>
      </w:r>
      <w:r>
        <w:rPr>
          <w:rFonts w:hint="eastAsia" w:ascii="Calibri" w:hAnsi="Calibri"/>
          <w:b/>
          <w:sz w:val="32"/>
          <w:szCs w:val="32"/>
          <w:highlight w:val="none"/>
          <w:lang w:val="en-US" w:eastAsia="zh-CN"/>
        </w:rPr>
        <w:t>教学区地块（虹口区欧阳社区C080401单元控制性详细规划hk089街坊）实施深化</w:t>
      </w:r>
      <w:r>
        <w:rPr>
          <w:rFonts w:hint="eastAsia" w:ascii="Calibri" w:hAnsi="Calibri"/>
          <w:b/>
          <w:sz w:val="32"/>
          <w:szCs w:val="32"/>
          <w:highlight w:val="none"/>
        </w:rPr>
        <w:t>项目</w:t>
      </w:r>
    </w:p>
    <w:p w14:paraId="590B3857"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采购需求</w:t>
      </w:r>
    </w:p>
    <w:p w14:paraId="1E7D35E7">
      <w:pPr>
        <w:rPr>
          <w:rFonts w:ascii="宋体" w:hAnsi="宋体" w:eastAsia="宋体"/>
          <w:b/>
          <w:bCs/>
          <w:sz w:val="24"/>
          <w:szCs w:val="24"/>
        </w:rPr>
      </w:pPr>
    </w:p>
    <w:p w14:paraId="44899FA8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</w:p>
    <w:p w14:paraId="6EBEC778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项目概况</w:t>
      </w:r>
    </w:p>
    <w:p w14:paraId="669CCFDB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项目名称：</w:t>
      </w:r>
      <w:r>
        <w:rPr>
          <w:rFonts w:hint="eastAsia" w:ascii="Calibri" w:hAnsi="Calibri"/>
          <w:color w:val="auto"/>
          <w:sz w:val="24"/>
          <w:lang w:val="en-US" w:eastAsia="zh-CN"/>
        </w:rPr>
        <w:t>上海外国语大学虹口校区教学区地块（虹口区欧阳社区C080401单元控制性详细规划hk089街坊）实施深化项目</w:t>
      </w:r>
    </w:p>
    <w:p w14:paraId="543E739D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2、上海外国语大学</w:t>
      </w:r>
      <w:r>
        <w:rPr>
          <w:rFonts w:hint="eastAsia" w:ascii="Calibri" w:hAnsi="Calibri"/>
          <w:color w:val="auto"/>
          <w:sz w:val="24"/>
          <w:lang w:val="en-US" w:eastAsia="zh-CN"/>
        </w:rPr>
        <w:t>虹口校区教学区地块（虹口区欧阳社区C080401单元控制性详细规划hk089街坊）实施深化项目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概况：</w:t>
      </w:r>
    </w:p>
    <w:p w14:paraId="7AE61E35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（1）建设地点：上海市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大连西路550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号上海外国语大学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虹口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校区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教学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区；</w:t>
      </w:r>
    </w:p>
    <w:p w14:paraId="6921BEBA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）总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规划用地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面积：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75347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平方米；</w:t>
      </w:r>
    </w:p>
    <w:p w14:paraId="400178B0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）工程开工、竣工日期：以实际开工、竣工日期为准。</w:t>
      </w:r>
    </w:p>
    <w:p w14:paraId="2BBBF8A7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3、主要建设内容：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3号楼拆复建同时增设地下车库。</w:t>
      </w:r>
    </w:p>
    <w:p w14:paraId="653EF090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bidi="ar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、项目最高限价：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人民币17.5万元整（小写：175000元）</w:t>
      </w:r>
    </w:p>
    <w:p w14:paraId="3A9FB29C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5、项目服务周期：自合同签订后直至完成合同所有内容的工作。</w:t>
      </w:r>
    </w:p>
    <w:p w14:paraId="1B93CC89">
      <w:pPr>
        <w:widowControl/>
        <w:spacing w:line="360" w:lineRule="auto"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6、合同款项的支付方式、时间、条件：详合同范本。</w:t>
      </w:r>
    </w:p>
    <w:p w14:paraId="616051B7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bidi="ar"/>
        </w:rPr>
        <w:t>二、服务范围、内容、标准及要求</w:t>
      </w:r>
    </w:p>
    <w:p w14:paraId="6443C516">
      <w:pPr>
        <w:pStyle w:val="13"/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0" w:name="OLE_LINK11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、服务</w:t>
      </w:r>
      <w:r>
        <w:rPr>
          <w:rFonts w:hint="eastAsia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范围</w:t>
      </w:r>
    </w:p>
    <w:p w14:paraId="7588B54D">
      <w:pPr>
        <w:pStyle w:val="13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上海市虹口区欧阳社区C080401单元hk089-02地块。</w:t>
      </w:r>
    </w:p>
    <w:p w14:paraId="2C192CD3">
      <w:pPr>
        <w:pStyle w:val="13"/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、服务内容</w:t>
      </w:r>
    </w:p>
    <w:p w14:paraId="77365B1F">
      <w:pPr>
        <w:pStyle w:val="13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根据《上海市生态空间专项规划（2018-2035）》、《上海市详细规划实施深管理规定（2020版）》、《上海市城市更新规划土地实施细则（试行）》等相关要求，结合上海外国语大学（虹口校区）校园停车难题，3号楼</w:t>
      </w: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 w:bidi="ar"/>
        </w:rPr>
        <w:t>结构存在安全隐患等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现状困局</w:t>
      </w: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上海外国语大学初定进行3号楼拆复建同时增设地下车库，现拟对相关用地（虹口区欧阳社区C080401单元hk089-02地块）的控制性详细规划实施深化编制技术文件。</w:t>
      </w:r>
    </w:p>
    <w:p w14:paraId="2AAB5AEF">
      <w:pPr>
        <w:pStyle w:val="13"/>
        <w:spacing w:line="360" w:lineRule="auto"/>
        <w:ind w:firstLine="482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</w:t>
      </w:r>
      <w:r>
        <w:rPr>
          <w:rFonts w:hint="eastAsia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标准及要求</w:t>
      </w:r>
    </w:p>
    <w:p w14:paraId="47220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根据相关要求，研究上海外国语大学的高等教育发展特点，分析现阶段虹口区欧阳社区C080401单元hk089-02地块周边的现状条件，并结合上海外国语大学校园停车难题等问题，论述此次控制性详细规划实施深化的必要性及变更措施，实施深化报告的编制应包括但不限于以下几方面内容：</w:t>
      </w:r>
    </w:p>
    <w:p w14:paraId="34AB8A3E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 w:bidi="ar"/>
        </w:rPr>
        <w:t>3.1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调整背景</w:t>
      </w: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 w:bidi="ar"/>
        </w:rPr>
        <w:t>：</w:t>
      </w:r>
    </w:p>
    <w:p w14:paraId="62587C5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结合上海市相关规划要求和政策、上海外国语大学校园停车需求及现状困难、校园食堂片区管理现状及优化需求等，分析hk089-02地块的控制性详细规划实施深化的背景、调整范围及现状概况、深化依据及相关规划、原控规各项指标及要求、深化动因及内容等。</w:t>
      </w:r>
    </w:p>
    <w:p w14:paraId="104C5B3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 w:bidi="ar"/>
        </w:rPr>
        <w:t>3.2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相关图纸及表格</w:t>
      </w: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 w:bidi="ar"/>
        </w:rPr>
        <w:t>：</w:t>
      </w:r>
    </w:p>
    <w:p w14:paraId="53DCCE7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 w:bidi="ar"/>
        </w:rPr>
        <w:t>3.2.1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调整前后地块指标对比表；</w:t>
      </w:r>
    </w:p>
    <w:p w14:paraId="6724A4F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 w:bidi="ar"/>
        </w:rPr>
        <w:t>3.2.2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相关图纸：</w:t>
      </w:r>
    </w:p>
    <w:p w14:paraId="508036C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 w:bidi="ar"/>
        </w:rPr>
        <w:t>3.3.3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区位图、地籍图、土地使用现状图、单元规划图则（含调整前图则、新编制的土地使用规划图）等。</w:t>
      </w:r>
    </w:p>
    <w:p w14:paraId="6D5CAA2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</w:pPr>
    </w:p>
    <w:p w14:paraId="0A21EF93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三、服务期限</w:t>
      </w:r>
    </w:p>
    <w:p w14:paraId="363E263D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color w:val="auto"/>
          <w:sz w:val="24"/>
          <w:szCs w:val="24"/>
        </w:rPr>
        <w:t>自项目工作正式启动之日起至本项目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评审</w:t>
      </w:r>
      <w:r>
        <w:rPr>
          <w:rFonts w:ascii="宋体" w:hAnsi="宋体" w:eastAsia="宋体" w:cs="宋体"/>
          <w:color w:val="auto"/>
          <w:sz w:val="24"/>
          <w:szCs w:val="24"/>
        </w:rPr>
        <w:t>通过且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响应方</w:t>
      </w:r>
      <w:r>
        <w:rPr>
          <w:rFonts w:ascii="宋体" w:hAnsi="宋体" w:eastAsia="宋体" w:cs="宋体"/>
          <w:color w:val="auto"/>
          <w:sz w:val="24"/>
          <w:szCs w:val="24"/>
        </w:rPr>
        <w:t>提交全部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成果</w:t>
      </w:r>
      <w:r>
        <w:rPr>
          <w:rFonts w:ascii="宋体" w:hAnsi="宋体" w:eastAsia="宋体" w:cs="宋体"/>
          <w:color w:val="auto"/>
          <w:sz w:val="24"/>
          <w:szCs w:val="24"/>
        </w:rPr>
        <w:t>报告并经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采购方确认</w:t>
      </w:r>
      <w:r>
        <w:rPr>
          <w:rFonts w:ascii="宋体" w:hAnsi="宋体" w:eastAsia="宋体" w:cs="宋体"/>
          <w:color w:val="auto"/>
          <w:sz w:val="24"/>
          <w:szCs w:val="24"/>
        </w:rPr>
        <w:t>无异议（即项目结束）止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76BE2BD6">
      <w:pPr>
        <w:widowControl/>
        <w:spacing w:line="360" w:lineRule="auto"/>
        <w:jc w:val="left"/>
        <w:rPr>
          <w:rFonts w:ascii="宋体" w:hAnsi="宋体" w:eastAsia="宋体" w:cs="宋体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bidi="ar"/>
        </w:rPr>
        <w:t>四、响应方的合格条件</w:t>
      </w:r>
    </w:p>
    <w:p w14:paraId="78A4A6C0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1、具备法律主体资格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具有相关规划营业许可范围，持有相关规划资质证书且在有效期内。</w:t>
      </w:r>
    </w:p>
    <w:p w14:paraId="5F9E173F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具有独立企业法人资格，具有相应经营范围且在有效期内的营业执照。</w:t>
      </w:r>
    </w:p>
    <w:p w14:paraId="4EEEC3B2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3、具备国家有关部门、行业或公司要求必须取得的质量、计量、安全、环保认证及其他经营许可。</w:t>
      </w:r>
    </w:p>
    <w:p w14:paraId="38D66E83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4、在国家有关部门和行业的监督检查中没有不良记录。</w:t>
      </w:r>
    </w:p>
    <w:p w14:paraId="49DB1957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5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、具有一定的经营规模和服务能力，具有良好的商业信誉和健全的财务会计制度。</w:t>
      </w:r>
    </w:p>
    <w:p w14:paraId="7567F52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、严禁响应方向参与采购工作的有关人员行贿，使其泄露一切与采购、评审工作的有关信息。</w:t>
      </w:r>
    </w:p>
    <w:p w14:paraId="303484C7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7、响应方在响应过程中严禁相互串通、结盟，损害采购的公正性和竞争性，或以任何其它方式影响其他响应方参与正当响应。</w:t>
      </w:r>
    </w:p>
    <w:p w14:paraId="6F09D27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8、如发现响应方有上述不正当竞争行为，将取消其响应或中标资格，采购方保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留追究相关单位或人士责任的权利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。</w:t>
      </w:r>
    </w:p>
    <w:bookmarkEnd w:id="0"/>
    <w:p w14:paraId="27D11735">
      <w:pPr>
        <w:pStyle w:val="76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360" w:lineRule="auto"/>
        <w:jc w:val="both"/>
        <w:rPr>
          <w:b/>
          <w:bCs/>
          <w:color w:val="000000"/>
          <w:sz w:val="28"/>
          <w:szCs w:val="28"/>
          <w:lang w:val="en-US" w:bidi="ar"/>
        </w:rPr>
      </w:pPr>
      <w:r>
        <w:rPr>
          <w:rFonts w:hint="eastAsia"/>
          <w:b/>
          <w:bCs/>
          <w:color w:val="000000"/>
          <w:sz w:val="28"/>
          <w:szCs w:val="28"/>
          <w:lang w:val="en-US" w:bidi="ar"/>
        </w:rPr>
        <w:t>七、商务评审：（0分至30分</w:t>
      </w:r>
      <w:r>
        <w:rPr>
          <w:rFonts w:hint="eastAsia"/>
          <w:b/>
          <w:bCs/>
          <w:color w:val="000000"/>
          <w:sz w:val="28"/>
          <w:szCs w:val="28"/>
          <w:lang w:val="en-US" w:bidi="ar"/>
        </w:rPr>
        <w:t>）</w:t>
      </w:r>
    </w:p>
    <w:tbl>
      <w:tblPr>
        <w:tblStyle w:val="16"/>
        <w:tblW w:w="913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114" w:type="dxa"/>
          <w:left w:w="115" w:type="dxa"/>
          <w:bottom w:w="0" w:type="dxa"/>
          <w:right w:w="115" w:type="dxa"/>
        </w:tblCellMar>
      </w:tblPr>
      <w:tblGrid>
        <w:gridCol w:w="1708"/>
        <w:gridCol w:w="5940"/>
        <w:gridCol w:w="1490"/>
      </w:tblGrid>
      <w:tr w14:paraId="3A27619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blHeader/>
          <w:jc w:val="center"/>
        </w:trPr>
        <w:tc>
          <w:tcPr>
            <w:tcW w:w="1708" w:type="dxa"/>
            <w:shd w:val="clear" w:color="auto" w:fill="auto"/>
            <w:vAlign w:val="center"/>
          </w:tcPr>
          <w:p w14:paraId="23ACBB63">
            <w:pPr>
              <w:snapToGrid w:val="0"/>
              <w:jc w:val="center"/>
              <w:rPr>
                <w:rFonts w:ascii="宋体" w:hAnsi="宋体" w:eastAsia="宋体"/>
                <w:b/>
                <w:lang w:eastAsia="en-US" w:bidi="en-US"/>
              </w:rPr>
            </w:pPr>
            <w:r>
              <w:rPr>
                <w:rFonts w:ascii="宋体" w:hAnsi="宋体" w:eastAsia="宋体"/>
                <w:b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b/>
                <w:lang w:eastAsia="en-US" w:bidi="en-US"/>
              </w:rPr>
              <w:instrText xml:space="preserve"> MEGEFIELD MF_TB </w:instrText>
            </w:r>
            <w:r>
              <w:rPr>
                <w:rFonts w:ascii="宋体" w:hAnsi="宋体" w:eastAsia="宋体"/>
                <w:b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b/>
                <w:lang w:eastAsia="en-US" w:bidi="en-US"/>
              </w:rPr>
              <w:t>评审因素</w:t>
            </w:r>
            <w:r>
              <w:rPr>
                <w:rFonts w:ascii="宋体" w:hAnsi="宋体" w:eastAsia="宋体"/>
                <w:b/>
                <w:lang w:eastAsia="en-US" w:bidi="en-US"/>
              </w:rPr>
              <w:fldChar w:fldCharType="end"/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231FDCD3">
            <w:pPr>
              <w:snapToGrid w:val="0"/>
              <w:jc w:val="center"/>
              <w:rPr>
                <w:rFonts w:ascii="宋体" w:hAnsi="宋体" w:eastAsia="宋体"/>
                <w:b/>
                <w:lang w:eastAsia="en-US" w:bidi="en-US"/>
              </w:rPr>
            </w:pPr>
            <w:r>
              <w:rPr>
                <w:rFonts w:ascii="宋体" w:hAnsi="宋体" w:eastAsia="宋体"/>
                <w:b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b/>
                <w:lang w:eastAsia="en-US" w:bidi="en-US"/>
              </w:rPr>
              <w:instrText xml:space="preserve"> MERGEIELD MF_TB </w:instrText>
            </w:r>
            <w:r>
              <w:rPr>
                <w:rFonts w:ascii="宋体" w:hAnsi="宋体" w:eastAsia="宋体"/>
                <w:b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b/>
                <w:lang w:eastAsia="en-US" w:bidi="en-US"/>
              </w:rPr>
              <w:t>评审因素细分项</w:t>
            </w:r>
            <w:r>
              <w:rPr>
                <w:rFonts w:ascii="宋体" w:hAnsi="宋体" w:eastAsia="宋体"/>
                <w:b/>
                <w:lang w:eastAsia="en-US" w:bidi="en-US"/>
              </w:rPr>
              <w:fldChar w:fldCharType="end"/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E7270DA">
            <w:pPr>
              <w:snapToGrid w:val="0"/>
              <w:jc w:val="center"/>
              <w:rPr>
                <w:rFonts w:ascii="宋体" w:hAnsi="宋体" w:eastAsia="宋体"/>
                <w:b/>
                <w:lang w:eastAsia="en-US" w:bidi="en-US"/>
              </w:rPr>
            </w:pPr>
            <w:r>
              <w:rPr>
                <w:rFonts w:ascii="宋体" w:hAnsi="宋体" w:eastAsia="宋体"/>
                <w:b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b/>
                <w:lang w:eastAsia="en-US" w:bidi="en-US"/>
              </w:rPr>
              <w:instrText xml:space="preserve"> MEGEFIELD MF_TB </w:instrText>
            </w:r>
            <w:r>
              <w:rPr>
                <w:rFonts w:ascii="宋体" w:hAnsi="宋体" w:eastAsia="宋体"/>
                <w:b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b/>
                <w:lang w:eastAsia="en-US" w:bidi="en-US"/>
              </w:rPr>
              <w:t>分值区间</w:t>
            </w:r>
            <w:r>
              <w:rPr>
                <w:rFonts w:ascii="宋体" w:hAnsi="宋体" w:eastAsia="宋体"/>
                <w:b/>
                <w:lang w:eastAsia="en-US" w:bidi="en-US"/>
              </w:rPr>
              <w:fldChar w:fldCharType="end"/>
            </w:r>
          </w:p>
        </w:tc>
      </w:tr>
      <w:tr w14:paraId="1345E40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708" w:type="dxa"/>
            <w:shd w:val="clear" w:color="auto" w:fill="auto"/>
            <w:vAlign w:val="center"/>
          </w:tcPr>
          <w:p w14:paraId="665BFA77">
            <w:pPr>
              <w:snapToGrid w:val="0"/>
              <w:jc w:val="center"/>
              <w:rPr>
                <w:rFonts w:ascii="等线" w:hAnsi="宋体" w:eastAsia="等线"/>
                <w:lang w:eastAsia="en-US" w:bidi="en-US"/>
              </w:rPr>
            </w:pPr>
            <w:r>
              <w:rPr>
                <w:rFonts w:ascii="等线" w:hAnsi="宋体" w:eastAsia="等线"/>
                <w:lang w:eastAsia="en-US" w:bidi="en-US"/>
              </w:rPr>
              <w:t>商务标评审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55AD633E">
            <w:pPr>
              <w:snapToGrid w:val="0"/>
              <w:jc w:val="center"/>
              <w:rPr>
                <w:rFonts w:ascii="等线" w:hAnsi="宋体" w:eastAsia="等线"/>
                <w:lang w:bidi="en-US"/>
              </w:rPr>
            </w:pPr>
            <w:r>
              <w:rPr>
                <w:rFonts w:hint="eastAsia" w:ascii="等线" w:eastAsia="等线"/>
                <w:lang w:bidi="en-US"/>
              </w:rPr>
              <w:t>满足比选文件要求且比选价格最低的比选报价为基准价，其价格分为满分30分。其他比选人的比选报价得分计算公式如下：比选报价得分=(评标基准价／比选报价)×价格权值×100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8D4F8F9">
            <w:pPr>
              <w:snapToGrid w:val="0"/>
              <w:jc w:val="center"/>
              <w:rPr>
                <w:rFonts w:ascii="等线" w:hAnsi="宋体" w:eastAsia="等线"/>
                <w:lang w:eastAsia="en-US" w:bidi="en-US"/>
              </w:rPr>
            </w:pPr>
            <w:r>
              <w:rPr>
                <w:rFonts w:hint="eastAsia" w:ascii="等线" w:hAnsi="宋体" w:eastAsia="等线"/>
                <w:lang w:bidi="en-US"/>
              </w:rPr>
              <w:t>0-</w:t>
            </w:r>
            <w:r>
              <w:rPr>
                <w:rFonts w:hint="eastAsia" w:ascii="等线" w:eastAsia="等线"/>
                <w:lang w:bidi="en-US"/>
              </w:rPr>
              <w:t>30</w:t>
            </w:r>
            <w:r>
              <w:rPr>
                <w:rFonts w:ascii="等线" w:hAnsi="宋体" w:eastAsia="等线"/>
                <w:lang w:eastAsia="en-US" w:bidi="en-US"/>
              </w:rPr>
              <w:t>分</w:t>
            </w:r>
          </w:p>
        </w:tc>
      </w:tr>
    </w:tbl>
    <w:p w14:paraId="6F1B18F5">
      <w:pPr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rPr>
          <w:rFonts w:ascii="宋体" w:hAnsi="宋体" w:eastAsia="宋体"/>
          <w:b/>
          <w:lang w:eastAsia="en-US" w:bidi="en-US"/>
        </w:rPr>
      </w:pPr>
    </w:p>
    <w:p w14:paraId="0FEF87AA">
      <w:pPr>
        <w:pStyle w:val="76"/>
        <w:numPr>
          <w:ilvl w:val="0"/>
          <w:numId w:val="2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360" w:lineRule="auto"/>
        <w:jc w:val="both"/>
        <w:rPr>
          <w:rFonts w:hint="eastAsia"/>
          <w:b/>
          <w:bCs/>
          <w:color w:val="000000"/>
          <w:sz w:val="28"/>
          <w:szCs w:val="28"/>
          <w:lang w:val="en-US" w:bidi="ar"/>
        </w:rPr>
      </w:pPr>
      <w:r>
        <w:rPr>
          <w:rFonts w:hint="eastAsia"/>
          <w:b/>
          <w:bCs/>
          <w:color w:val="000000"/>
          <w:sz w:val="28"/>
          <w:szCs w:val="28"/>
          <w:lang w:val="en-US" w:bidi="ar"/>
        </w:rPr>
        <w:t>技术标评审（0分至70分</w:t>
      </w:r>
      <w:r>
        <w:rPr>
          <w:rFonts w:hint="eastAsia"/>
          <w:b/>
          <w:bCs/>
          <w:color w:val="000000"/>
          <w:sz w:val="28"/>
          <w:szCs w:val="28"/>
          <w:lang w:val="en-US" w:bidi="ar"/>
        </w:rPr>
        <w:t>）</w:t>
      </w:r>
    </w:p>
    <w:tbl>
      <w:tblPr>
        <w:tblStyle w:val="16"/>
        <w:tblpPr w:leftFromText="180" w:rightFromText="180" w:vertAnchor="text" w:horzAnchor="page" w:tblpX="1448" w:tblpY="163"/>
        <w:tblOverlap w:val="never"/>
        <w:tblW w:w="923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14" w:type="dxa"/>
          <w:left w:w="115" w:type="dxa"/>
          <w:bottom w:w="0" w:type="dxa"/>
          <w:right w:w="115" w:type="dxa"/>
        </w:tblCellMar>
      </w:tblPr>
      <w:tblGrid>
        <w:gridCol w:w="8"/>
        <w:gridCol w:w="1713"/>
        <w:gridCol w:w="1434"/>
        <w:gridCol w:w="4594"/>
        <w:gridCol w:w="1483"/>
      </w:tblGrid>
      <w:tr w14:paraId="0E99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gridBefore w:val="1"/>
          <w:wBefore w:w="8" w:type="dxa"/>
          <w:trHeight w:val="236" w:hRule="atLeast"/>
        </w:trPr>
        <w:tc>
          <w:tcPr>
            <w:tcW w:w="1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895B4C">
            <w:pPr>
              <w:jc w:val="center"/>
              <w:rPr>
                <w:color w:val="auto"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hint="eastAsia"/>
                <w:color w:val="auto"/>
              </w:rPr>
              <w:t>评审因素</w:t>
            </w:r>
          </w:p>
        </w:tc>
        <w:tc>
          <w:tcPr>
            <w:tcW w:w="60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BDBB4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评审因素细分项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23BB0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分值区间</w:t>
            </w:r>
          </w:p>
        </w:tc>
      </w:tr>
      <w:tr w14:paraId="3270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技术标评审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70分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公司实力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0分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9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/>
                <w:color w:val="auto"/>
                <w:lang w:bidi="en-US"/>
              </w:rPr>
              <w:t>公司实力（规模、信誉、经营能力水平）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7638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8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技术方案完整性与合理性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0分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2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调整背景分析是否结合上海相关规划政策、校区停车实际需求，逻辑是否清晰；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734A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3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A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3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控规深化的必要性、变更措施是否贴合地块现状及校区发展特点，具备实操性；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1346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A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0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C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 报告编制框架是否完整，包含采购文件要求的全部内容，无缺项漏项；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49ED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0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0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E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 对地块指标调整的论证是否科学，符合城市更、高校校园规划相关规范。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352F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7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3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项目组人员配置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15分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项目负责人职称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水平、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团队成员专业配置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团队成员持证情况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5分</w:t>
            </w:r>
          </w:p>
        </w:tc>
      </w:tr>
      <w:tr w14:paraId="1799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7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7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近三年同类业绩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9分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3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近三年承接过高校校园规划 / 城市更新控规实施深化 / 地块控制性详细规划编制类项目数量；业绩项目的规模、服务内容与本项目的匹配度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业绩证明材料是否完整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39BE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7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1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服务保障与进度安排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6分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0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项目服务周期安排是否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，报告编制、图纸绘制的质量管控措施是否完善；与采购方的沟通对接机制、成果修改完善服务承诺是否明确。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</w:tbl>
    <w:p w14:paraId="3BBE5D36">
      <w:pPr>
        <w:pStyle w:val="76"/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360" w:lineRule="auto"/>
        <w:jc w:val="both"/>
        <w:rPr>
          <w:rFonts w:hint="eastAsia"/>
          <w:b/>
          <w:bCs/>
          <w:color w:val="000000"/>
          <w:sz w:val="28"/>
          <w:szCs w:val="28"/>
          <w:lang w:val="en-US" w:bidi="ar"/>
        </w:rPr>
      </w:pPr>
    </w:p>
    <w:p w14:paraId="291851D2">
      <w:pPr>
        <w:spacing w:line="360" w:lineRule="auto"/>
        <w:rPr>
          <w:rFonts w:hint="eastAsia" w:ascii="Calibri" w:hAnsi="Calibri"/>
          <w:b/>
          <w:sz w:val="24"/>
        </w:rPr>
      </w:pPr>
    </w:p>
    <w:p w14:paraId="1B96B9AD">
      <w:pPr>
        <w:pStyle w:val="76"/>
        <w:widowControl w:val="0"/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360" w:lineRule="auto"/>
        <w:jc w:val="both"/>
        <w:rPr>
          <w:rFonts w:hint="eastAsia"/>
          <w:b/>
          <w:bCs/>
          <w:color w:val="000000"/>
          <w:sz w:val="28"/>
          <w:szCs w:val="28"/>
          <w:lang w:val="en-US" w:bidi="ar"/>
        </w:rPr>
      </w:pPr>
    </w:p>
    <w:p w14:paraId="3D9FC37F">
      <w:pPr>
        <w:widowControl/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91F04"/>
    <w:multiLevelType w:val="singleLevel"/>
    <w:tmpl w:val="94891F0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F228BD"/>
    <w:multiLevelType w:val="singleLevel"/>
    <w:tmpl w:val="28F228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FA"/>
    <w:rsid w:val="000577C6"/>
    <w:rsid w:val="000B2F02"/>
    <w:rsid w:val="001309B3"/>
    <w:rsid w:val="0014466D"/>
    <w:rsid w:val="001D365D"/>
    <w:rsid w:val="0020643C"/>
    <w:rsid w:val="0028196E"/>
    <w:rsid w:val="002C004C"/>
    <w:rsid w:val="0031511A"/>
    <w:rsid w:val="004A0D7E"/>
    <w:rsid w:val="005A7AF3"/>
    <w:rsid w:val="006006A3"/>
    <w:rsid w:val="006741C4"/>
    <w:rsid w:val="0076335A"/>
    <w:rsid w:val="008E7616"/>
    <w:rsid w:val="009550BE"/>
    <w:rsid w:val="00A0207A"/>
    <w:rsid w:val="00E23A67"/>
    <w:rsid w:val="00E820FA"/>
    <w:rsid w:val="00EA2847"/>
    <w:rsid w:val="00F03AAC"/>
    <w:rsid w:val="00F61AB6"/>
    <w:rsid w:val="00FF0412"/>
    <w:rsid w:val="01916C5A"/>
    <w:rsid w:val="02083BFD"/>
    <w:rsid w:val="02B524D4"/>
    <w:rsid w:val="04E13A54"/>
    <w:rsid w:val="0B72074F"/>
    <w:rsid w:val="0BC636B5"/>
    <w:rsid w:val="0C006EB6"/>
    <w:rsid w:val="0C4E28A0"/>
    <w:rsid w:val="106C642D"/>
    <w:rsid w:val="110E3E23"/>
    <w:rsid w:val="15B14D7D"/>
    <w:rsid w:val="188D7D23"/>
    <w:rsid w:val="18C76DEE"/>
    <w:rsid w:val="19697087"/>
    <w:rsid w:val="19713243"/>
    <w:rsid w:val="19B206A5"/>
    <w:rsid w:val="1B210BF7"/>
    <w:rsid w:val="1C4C30B4"/>
    <w:rsid w:val="1E2C7696"/>
    <w:rsid w:val="1E4A0464"/>
    <w:rsid w:val="1FB1513B"/>
    <w:rsid w:val="1FE2748A"/>
    <w:rsid w:val="233C481F"/>
    <w:rsid w:val="24415E66"/>
    <w:rsid w:val="27385C7C"/>
    <w:rsid w:val="273B6A6C"/>
    <w:rsid w:val="277058BF"/>
    <w:rsid w:val="27AB7A4E"/>
    <w:rsid w:val="28220117"/>
    <w:rsid w:val="286E6AFD"/>
    <w:rsid w:val="28C52BC1"/>
    <w:rsid w:val="293D7D2C"/>
    <w:rsid w:val="2A0A4AA5"/>
    <w:rsid w:val="2A557F75"/>
    <w:rsid w:val="2C7A6134"/>
    <w:rsid w:val="2F2148C9"/>
    <w:rsid w:val="30BD0622"/>
    <w:rsid w:val="30EA404F"/>
    <w:rsid w:val="33093FF2"/>
    <w:rsid w:val="35763E83"/>
    <w:rsid w:val="37313B18"/>
    <w:rsid w:val="38EC7F72"/>
    <w:rsid w:val="39425213"/>
    <w:rsid w:val="39447B32"/>
    <w:rsid w:val="3C4E4384"/>
    <w:rsid w:val="3C8841DA"/>
    <w:rsid w:val="3D4B049C"/>
    <w:rsid w:val="3E9F7F53"/>
    <w:rsid w:val="3FE50CF0"/>
    <w:rsid w:val="46C025FF"/>
    <w:rsid w:val="47F0441B"/>
    <w:rsid w:val="4A6A3171"/>
    <w:rsid w:val="4AF550ED"/>
    <w:rsid w:val="4B1B21C0"/>
    <w:rsid w:val="4C8E043C"/>
    <w:rsid w:val="4DD747A8"/>
    <w:rsid w:val="55FA184D"/>
    <w:rsid w:val="56527629"/>
    <w:rsid w:val="56A30136"/>
    <w:rsid w:val="57154464"/>
    <w:rsid w:val="58B24629"/>
    <w:rsid w:val="58C919AA"/>
    <w:rsid w:val="5B8E5344"/>
    <w:rsid w:val="5BB02FCA"/>
    <w:rsid w:val="5C484482"/>
    <w:rsid w:val="5EBE2BFD"/>
    <w:rsid w:val="615F35F3"/>
    <w:rsid w:val="65BE0F30"/>
    <w:rsid w:val="66030B7B"/>
    <w:rsid w:val="661C2F61"/>
    <w:rsid w:val="6A5278A5"/>
    <w:rsid w:val="6BEE5558"/>
    <w:rsid w:val="6C7849F2"/>
    <w:rsid w:val="6D5C6781"/>
    <w:rsid w:val="6DF11851"/>
    <w:rsid w:val="6E6E4063"/>
    <w:rsid w:val="6E7004A6"/>
    <w:rsid w:val="6FF9096F"/>
    <w:rsid w:val="70117A67"/>
    <w:rsid w:val="71AB7A47"/>
    <w:rsid w:val="74DD616A"/>
    <w:rsid w:val="76585078"/>
    <w:rsid w:val="77F35CA4"/>
    <w:rsid w:val="78A04B0F"/>
    <w:rsid w:val="79762586"/>
    <w:rsid w:val="79A639F5"/>
    <w:rsid w:val="7C9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Body Text"/>
    <w:basedOn w:val="1"/>
    <w:link w:val="40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8"/>
      <w:szCs w:val="28"/>
      <w14:ligatures w14:val="standardContextual"/>
    </w:rPr>
  </w:style>
  <w:style w:type="paragraph" w:styleId="13">
    <w:name w:val="Plain Text"/>
    <w:basedOn w:val="1"/>
    <w:qFormat/>
    <w:uiPriority w:val="99"/>
    <w:rPr>
      <w:rFonts w:ascii="宋体" w:hAnsi="Courier New"/>
      <w:szCs w:val="20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llowedHyperlink"/>
    <w:basedOn w:val="18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1">
    <w:name w:val="annotation reference"/>
    <w:qFormat/>
    <w:uiPriority w:val="99"/>
    <w:rPr>
      <w:sz w:val="21"/>
      <w:szCs w:val="21"/>
    </w:rPr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8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link w:val="41"/>
    <w:qFormat/>
    <w:uiPriority w:val="0"/>
    <w:pPr>
      <w:ind w:left="720"/>
      <w:contextualSpacing/>
    </w:pPr>
  </w:style>
  <w:style w:type="character" w:customStyle="1" w:styleId="36">
    <w:name w:val="Intense Emphasis1"/>
    <w:basedOn w:val="18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8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正文文本 字符"/>
    <w:basedOn w:val="18"/>
    <w:link w:val="12"/>
    <w:qFormat/>
    <w:uiPriority w:val="1"/>
    <w:rPr>
      <w:rFonts w:ascii="宋体" w:hAnsi="Times New Roman" w:eastAsia="宋体" w:cs="宋体"/>
      <w:kern w:val="0"/>
      <w:sz w:val="28"/>
      <w:szCs w:val="28"/>
    </w:rPr>
  </w:style>
  <w:style w:type="character" w:customStyle="1" w:styleId="41">
    <w:name w:val="列表段落 字符"/>
    <w:link w:val="35"/>
    <w:qFormat/>
    <w:uiPriority w:val="0"/>
    <w:rPr>
      <w:sz w:val="21"/>
      <w:szCs w:val="22"/>
      <w14:ligatures w14:val="none"/>
    </w:rPr>
  </w:style>
  <w:style w:type="paragraph" w:customStyle="1" w:styleId="42">
    <w:name w:val="正文文字1"/>
    <w:basedOn w:val="12"/>
    <w:qFormat/>
    <w:uiPriority w:val="0"/>
    <w:pPr>
      <w:autoSpaceDE/>
      <w:autoSpaceDN/>
      <w:spacing w:line="360" w:lineRule="atLeast"/>
      <w:ind w:left="72" w:leftChars="30" w:right="72" w:rightChars="30"/>
      <w:jc w:val="both"/>
      <w:textAlignment w:val="baseline"/>
    </w:pPr>
    <w:rPr>
      <w:rFonts w:ascii="Times New Roman" w:cs="Times New Roman"/>
      <w:sz w:val="21"/>
      <w:szCs w:val="20"/>
      <w14:ligatures w14:val="none"/>
    </w:rPr>
  </w:style>
  <w:style w:type="paragraph" w:customStyle="1" w:styleId="4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4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5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FF0000"/>
      <w:kern w:val="0"/>
      <w:sz w:val="20"/>
      <w:szCs w:val="20"/>
    </w:rPr>
  </w:style>
  <w:style w:type="paragraph" w:customStyle="1" w:styleId="5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52">
    <w:name w:val="xl6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53">
    <w:name w:val="xl66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54">
    <w:name w:val="xl67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55">
    <w:name w:val="xl68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56">
    <w:name w:val="xl69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7">
    <w:name w:val="xl7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8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000000"/>
      <w:kern w:val="0"/>
      <w:sz w:val="24"/>
      <w:szCs w:val="24"/>
    </w:rPr>
  </w:style>
  <w:style w:type="paragraph" w:customStyle="1" w:styleId="59">
    <w:name w:val="xl7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60">
    <w:name w:val="xl73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61">
    <w:name w:val="xl7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62">
    <w:name w:val="xl75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63">
    <w:name w:val="xl7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64">
    <w:name w:val="xl7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65">
    <w:name w:val="xl78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6">
    <w:name w:val="xl79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000000"/>
      <w:kern w:val="0"/>
      <w:sz w:val="24"/>
      <w:szCs w:val="24"/>
    </w:rPr>
  </w:style>
  <w:style w:type="paragraph" w:customStyle="1" w:styleId="67">
    <w:name w:val="xl80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center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68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69">
    <w:name w:val="xl8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0">
    <w:name w:val="xl8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Arial" w:hAnsi="Arial" w:eastAsia="宋体" w:cs="Arial"/>
      <w:b/>
      <w:bCs/>
      <w:color w:val="000000"/>
      <w:kern w:val="0"/>
      <w:sz w:val="24"/>
      <w:szCs w:val="24"/>
    </w:rPr>
  </w:style>
  <w:style w:type="paragraph" w:customStyle="1" w:styleId="71">
    <w:name w:val="xl84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72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color w:val="000000"/>
      <w:kern w:val="0"/>
      <w:sz w:val="24"/>
      <w:szCs w:val="24"/>
    </w:rPr>
  </w:style>
  <w:style w:type="paragraph" w:customStyle="1" w:styleId="73">
    <w:name w:val="xl86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color w:val="000000"/>
      <w:kern w:val="0"/>
      <w:sz w:val="24"/>
      <w:szCs w:val="24"/>
    </w:rPr>
  </w:style>
  <w:style w:type="paragraph" w:customStyle="1" w:styleId="74">
    <w:name w:val="xl87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color w:val="000000"/>
      <w:kern w:val="0"/>
      <w:sz w:val="24"/>
      <w:szCs w:val="24"/>
    </w:rPr>
  </w:style>
  <w:style w:type="paragraph" w:customStyle="1" w:styleId="75">
    <w:name w:val="xl8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6">
    <w:name w:val="[Normal]"/>
    <w:qFormat/>
    <w:uiPriority w:val="0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1786</Words>
  <Characters>1932</Characters>
  <Lines>17</Lines>
  <Paragraphs>4</Paragraphs>
  <TotalTime>2</TotalTime>
  <ScaleCrop>false</ScaleCrop>
  <LinksUpToDate>false</LinksUpToDate>
  <CharactersWithSpaces>1940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2026-01-22T05:34:00Z</dcterms:created>
  <dc:creator>zyq</dc:creator>
  <cp:lastModifiedBy>东方明珠3号</cp:lastModifiedBy>
  <dcterms:modified xsi:type="dcterms:W3CDTF">2026-03-27T00:40:03Z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eyJoZGlkIjoiOTcwZTViODc3Y2JkYTc4NGVkZWI3ZTAxNmZhODU5NmEiLCJ1c2VySWQiOiIxMTAwNDkxNTA0In0=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8ED664C325DE43EDA48F61F53CFBCA22_13</vt:lpwstr>
  </property>
</Properties>
</file>