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8D61D">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13" w:line="360" w:lineRule="auto"/>
        <w:jc w:val="center"/>
        <w:rPr>
          <w:rFonts w:ascii="黑体" w:hAnsi="黑体" w:eastAsia="黑体" w:cs="黑体"/>
          <w:b/>
          <w:bCs/>
          <w:color w:val="000000"/>
          <w:sz w:val="44"/>
          <w:szCs w:val="44"/>
          <w:lang w:val="en-US" w:bidi="en-US"/>
        </w:rPr>
      </w:pPr>
      <w:r>
        <w:rPr>
          <w:rFonts w:hint="eastAsia" w:ascii="黑体" w:hAnsi="黑体" w:eastAsia="黑体" w:cs="黑体"/>
          <w:b/>
          <w:bCs/>
          <w:color w:val="000000"/>
          <w:sz w:val="44"/>
          <w:szCs w:val="44"/>
          <w:lang w:val="en-US" w:bidi="en-US"/>
        </w:rPr>
        <w:t>上海外国语大学松江校区学生公寓综合体防汛论证服务比选采购需求书</w:t>
      </w:r>
    </w:p>
    <w:p w14:paraId="4A94251A">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13" w:line="360" w:lineRule="auto"/>
        <w:jc w:val="center"/>
        <w:rPr>
          <w:rFonts w:ascii="黑体" w:hAnsi="黑体" w:eastAsia="黑体" w:cs="黑体"/>
          <w:b/>
          <w:bCs/>
          <w:color w:val="000000"/>
          <w:sz w:val="44"/>
          <w:szCs w:val="44"/>
          <w:lang w:val="en-US" w:bidi="en-US"/>
        </w:rPr>
      </w:pPr>
    </w:p>
    <w:p w14:paraId="6A476D6A">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13" w:line="360" w:lineRule="auto"/>
        <w:ind w:firstLine="420"/>
        <w:jc w:val="both"/>
        <w:rPr>
          <w:b/>
          <w:sz w:val="21"/>
        </w:rPr>
      </w:pPr>
      <w:r>
        <w:rPr>
          <w:b/>
          <w:sz w:val="21"/>
        </w:rPr>
        <w:t>一、项目简介</w:t>
      </w:r>
    </w:p>
    <w:p w14:paraId="513D6C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ind w:firstLine="420"/>
        <w:rPr>
          <w:sz w:val="21"/>
        </w:rPr>
      </w:pPr>
      <w:r>
        <w:rPr>
          <w:rFonts w:hint="eastAsia"/>
          <w:sz w:val="21"/>
        </w:rPr>
        <w:t>本项目拟先拆除场地内原有</w:t>
      </w:r>
      <w:r>
        <w:rPr>
          <w:sz w:val="21"/>
        </w:rPr>
        <w:t>20栋既有多层房屋（建筑面积合计约5,140平方米），平整场地后在其位置上建设高层建筑，建筑高度不高于50米。项目用地面积 15,761 平方米，</w:t>
      </w:r>
      <w:r>
        <w:rPr>
          <w:rFonts w:hint="eastAsia"/>
          <w:sz w:val="21"/>
        </w:rPr>
        <w:t>总建筑面积拟为</w:t>
      </w:r>
      <w:r>
        <w:rPr>
          <w:sz w:val="21"/>
        </w:rPr>
        <w:t>40,100平方米</w:t>
      </w:r>
      <w:r>
        <w:rPr>
          <w:rFonts w:hint="eastAsia"/>
          <w:sz w:val="21"/>
        </w:rPr>
        <w:t>，</w:t>
      </w:r>
      <w:r>
        <w:rPr>
          <w:sz w:val="21"/>
        </w:rPr>
        <w:t>地上建筑主要建设内容为学生宿舍、师生活动用房和食堂；地下建筑</w:t>
      </w:r>
      <w:r>
        <w:rPr>
          <w:rFonts w:hint="eastAsia"/>
          <w:sz w:val="21"/>
        </w:rPr>
        <w:t>面积</w:t>
      </w:r>
      <w:r>
        <w:rPr>
          <w:sz w:val="21"/>
        </w:rPr>
        <w:t>5000平方米，主要为食堂厨房、人防地下汽车库及设备用房。</w:t>
      </w:r>
    </w:p>
    <w:p w14:paraId="225D745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ind w:firstLine="420"/>
        <w:rPr>
          <w:sz w:val="21"/>
        </w:rPr>
      </w:pPr>
      <w:r>
        <w:rPr>
          <w:rFonts w:hint="eastAsia"/>
          <w:sz w:val="21"/>
        </w:rPr>
        <w:t>项目基地位于松江校区内，校区已投入使用多年，供电、给排水等市政基本配套设施完善。室内生活排水采用污、</w:t>
      </w:r>
      <w:r>
        <w:rPr>
          <w:sz w:val="21"/>
        </w:rPr>
        <w:t xml:space="preserve"> 废水合流的排水方式。底层排水单独排放。地下设备机房、地下汽车库入口坡道底部集水坑，经设在集水坑内或污水坑内的潜水排污泵提升后排至室外排水管道。室外排水采用雨、污分流方式。 厨房含油废水排入自动油水分离器（带气浮）机房，经隔油、沉淀处理后，排至室外污水窨井。雨、污水管网汇合后排入基地北侧文翰路市政雨、污水管污水处理站污泥委托有资质的相关固废回收处置有限公司处理。</w:t>
      </w:r>
    </w:p>
    <w:p w14:paraId="3C78410B">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ind w:firstLine="425"/>
        <w:jc w:val="both"/>
        <w:rPr>
          <w:b/>
          <w:sz w:val="21"/>
          <w:lang w:val="en-US" w:bidi="en-US"/>
        </w:rPr>
      </w:pPr>
      <w:r>
        <w:rPr>
          <w:b/>
          <w:sz w:val="21"/>
          <w:lang w:val="en-US" w:bidi="en-US"/>
        </w:rPr>
        <w:t>二、</w:t>
      </w:r>
      <w:r>
        <w:rPr>
          <w:rFonts w:hint="eastAsia"/>
          <w:b/>
          <w:sz w:val="21"/>
        </w:rPr>
        <w:t>防汛论证</w:t>
      </w:r>
      <w:r>
        <w:rPr>
          <w:b/>
          <w:sz w:val="21"/>
        </w:rPr>
        <w:t>范围</w:t>
      </w:r>
    </w:p>
    <w:p w14:paraId="6C6414F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sz w:val="21"/>
          <w:lang w:val="en-US" w:bidi="en-US"/>
        </w:rPr>
      </w:pPr>
      <w:r>
        <w:rPr>
          <w:sz w:val="21"/>
        </w:rPr>
        <w:t>本工程的各</w:t>
      </w:r>
      <w:r>
        <w:rPr>
          <w:rFonts w:hint="eastAsia"/>
          <w:sz w:val="21"/>
        </w:rPr>
        <w:t>防汛设施</w:t>
      </w:r>
      <w:r>
        <w:rPr>
          <w:sz w:val="21"/>
        </w:rPr>
        <w:t>施工图设计文件等，包括但不限于建筑结构、</w:t>
      </w:r>
      <w:r>
        <w:rPr>
          <w:color w:val="000000"/>
          <w:sz w:val="21"/>
        </w:rPr>
        <w:t>给排水、暖通、电气以及消防等专业</w:t>
      </w:r>
      <w:r>
        <w:rPr>
          <w:sz w:val="21"/>
          <w:lang w:val="en-US" w:bidi="en-US"/>
        </w:rPr>
        <w:t>。</w:t>
      </w:r>
    </w:p>
    <w:p w14:paraId="56853CFE">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b/>
          <w:sz w:val="21"/>
          <w:lang w:val="en-US" w:bidi="en-US"/>
        </w:rPr>
      </w:pPr>
      <w:r>
        <w:rPr>
          <w:b/>
          <w:sz w:val="21"/>
          <w:lang w:val="en-US" w:bidi="en-US"/>
        </w:rPr>
        <w:t>三、</w:t>
      </w:r>
      <w:r>
        <w:rPr>
          <w:rFonts w:hint="eastAsia"/>
          <w:b/>
          <w:sz w:val="21"/>
        </w:rPr>
        <w:t>防汛论证</w:t>
      </w:r>
      <w:r>
        <w:rPr>
          <w:b/>
          <w:sz w:val="21"/>
        </w:rPr>
        <w:t>依据（包括但不限于）</w:t>
      </w:r>
    </w:p>
    <w:p w14:paraId="5FDC0043">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1）《上海市防汛条例》（2014年7月25日修正）；</w:t>
      </w:r>
    </w:p>
    <w:p w14:paraId="16030560">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2）《上海市河道管理条例》（2022年修正）；</w:t>
      </w:r>
    </w:p>
    <w:p w14:paraId="0CF1F11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3）《上海市排水管理条例》（2010年修正）；</w:t>
      </w:r>
    </w:p>
    <w:p w14:paraId="38BAE88E">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4）《城市地下公共工程开发利用管理规定》（2011年修正）；</w:t>
      </w:r>
    </w:p>
    <w:p w14:paraId="75786A52">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5）《上海市跨、穿、沿河构筑物河道管理技术规定》（2007年）；</w:t>
      </w:r>
    </w:p>
    <w:p w14:paraId="2793CAB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6）《城市地下空间开发利用管理规定》（2010年修正）；</w:t>
      </w:r>
    </w:p>
    <w:p w14:paraId="6BD4C34B">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7）《上海市地下公共工程建设防汛影响专项论证管理办法》（沪水务[2015]921号）；</w:t>
      </w:r>
    </w:p>
    <w:p w14:paraId="5C54F4E7">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8）《上海深基坑工程管理规定》（沪建交[2006]105号）；</w:t>
      </w:r>
    </w:p>
    <w:p w14:paraId="4BC11DF0">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9）《上海市城镇雨水排水设施规划和设计指导意见》（沪水务〔2014〕1063号）</w:t>
      </w:r>
    </w:p>
    <w:p w14:paraId="4AA66843">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10）《中华人民共和国水法》</w:t>
      </w:r>
    </w:p>
    <w:p w14:paraId="6CFAB7A4">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11）《民用建筑节水设计标准》 GB 50555-2010</w:t>
      </w:r>
    </w:p>
    <w:p w14:paraId="6963FE9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12）《建筑给水排水节水通用规范》 GB 55020-2021</w:t>
      </w:r>
    </w:p>
    <w:p w14:paraId="3C2AFC57">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w:t>
      </w:r>
      <w:r>
        <w:rPr>
          <w:sz w:val="21"/>
          <w:szCs w:val="21"/>
        </w:rPr>
        <w:t>13）《室外给水设计标准》 GB 50013-2018</w:t>
      </w:r>
    </w:p>
    <w:p w14:paraId="45688399">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szCs w:val="21"/>
        </w:rPr>
      </w:pPr>
      <w:r>
        <w:rPr>
          <w:rFonts w:hint="eastAsia"/>
          <w:sz w:val="21"/>
          <w:szCs w:val="21"/>
        </w:rPr>
        <w:t>以上文件若有更新修正，以最新版本文件为准。</w:t>
      </w:r>
    </w:p>
    <w:p w14:paraId="7C06AE25">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b/>
          <w:sz w:val="21"/>
          <w:lang w:val="en-US" w:bidi="en-US"/>
        </w:rPr>
      </w:pPr>
      <w:r>
        <w:rPr>
          <w:b/>
          <w:sz w:val="21"/>
        </w:rPr>
        <w:t>四、</w:t>
      </w:r>
      <w:r>
        <w:rPr>
          <w:rFonts w:hint="eastAsia"/>
          <w:b/>
          <w:sz w:val="21"/>
        </w:rPr>
        <w:t>防汛论证</w:t>
      </w:r>
      <w:r>
        <w:rPr>
          <w:b/>
          <w:sz w:val="21"/>
        </w:rPr>
        <w:t>内容</w:t>
      </w:r>
    </w:p>
    <w:p w14:paraId="5565637E">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sz w:val="21"/>
        </w:rPr>
        <w:t>4.1阐述地下公共工程建设项目基本概况，包括立项审批及工程方案设计等内容。</w:t>
      </w:r>
    </w:p>
    <w:p w14:paraId="2DA6C007">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sz w:val="21"/>
        </w:rPr>
        <w:t>4.2调查地下公共工程周边防汛工程设施及环境状况。</w:t>
      </w:r>
    </w:p>
    <w:p w14:paraId="71218B8E">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sz w:val="21"/>
        </w:rPr>
        <w:t>4.3分析、预测和评估建设过程中以及建成后对防汛安全可能造成的影响和潜在风险。</w:t>
      </w:r>
    </w:p>
    <w:p w14:paraId="2EF3BD93">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1）复核室外雨污水排放能力是否符合《上海市城镇雨水排水设施规划和设计指导意见》、《污水排入城镇下水道水质标准》DB31/445-2009、《室外排水设计标准》GB50014-2021等规范以及技术规定要求；</w:t>
      </w:r>
    </w:p>
    <w:p w14:paraId="57BC74F6">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2）复核地下公共工程挡水能力是否符合《建筑地面设计规范》（GB50037-2013）相关要求；</w:t>
      </w:r>
    </w:p>
    <w:p w14:paraId="73DFE2EC">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3）复核地下公共工程排水能力是否符合《地下工程防水技术规范》（GB50108-2008）相关要求；</w:t>
      </w:r>
    </w:p>
    <w:p w14:paraId="6F11649A">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4）分析地下公共工程设计方案的防水设计是否符合《地下工程防水技术规范》（GB50108-2008）中的有关要求；</w:t>
      </w:r>
    </w:p>
    <w:p w14:paraId="094D654E">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5）复核地下公共工程防渗能力是否符合《地下工程防水技术规范》（GB50108-2008）相关要求；</w:t>
      </w:r>
    </w:p>
    <w:p w14:paraId="79341076">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6）复核现状防汛设施的安全，以及现状防汛设施是否满足规划要求；计算基坑施工对周边土体的位移影响。</w:t>
      </w:r>
    </w:p>
    <w:p w14:paraId="5D6888BC">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7）分析和预测地下公共工程建设过程中的潜在风险、对周边防汛工程设施的影响以及自身防汛安全等，并提出指导意见；</w:t>
      </w:r>
    </w:p>
    <w:p w14:paraId="0E52768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rFonts w:hint="eastAsia"/>
          <w:sz w:val="21"/>
        </w:rPr>
        <w:t>（</w:t>
      </w:r>
      <w:r>
        <w:rPr>
          <w:sz w:val="21"/>
        </w:rPr>
        <w:t>8）分析和研究地下公共工程使用期间的防汛日常管理制度及应急预案，包括但不限于防汛组织架构、责任落实、物质储备、设备维护、联系网络、应急值守等内容。</w:t>
      </w:r>
    </w:p>
    <w:p w14:paraId="0C99F7E8">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sz w:val="21"/>
        </w:rPr>
        <w:t>4.4 提出防汛影响专项论证的结论。</w:t>
      </w:r>
    </w:p>
    <w:p w14:paraId="6010D0FE">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sz w:val="21"/>
        </w:rPr>
      </w:pPr>
      <w:r>
        <w:rPr>
          <w:sz w:val="21"/>
        </w:rPr>
        <w:t>4.5 完成专家评审并根据专家意见修订报告。</w:t>
      </w:r>
    </w:p>
    <w:p w14:paraId="635DA26C">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b/>
          <w:sz w:val="21"/>
        </w:rPr>
      </w:pPr>
      <w:r>
        <w:rPr>
          <w:b/>
          <w:sz w:val="21"/>
        </w:rPr>
        <w:t>五、</w:t>
      </w:r>
      <w:r>
        <w:rPr>
          <w:rFonts w:hint="eastAsia"/>
          <w:b/>
          <w:sz w:val="21"/>
        </w:rPr>
        <w:t>论证</w:t>
      </w:r>
      <w:r>
        <w:rPr>
          <w:b/>
          <w:sz w:val="21"/>
        </w:rPr>
        <w:t>要求</w:t>
      </w:r>
    </w:p>
    <w:p w14:paraId="76AB0955">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rPr>
      </w:pPr>
      <w:r>
        <w:rPr>
          <w:rFonts w:hint="eastAsia"/>
          <w:sz w:val="21"/>
        </w:rPr>
        <w:t>（1）提供满足防汛论证技术咨询服务要求的报告；</w:t>
      </w:r>
    </w:p>
    <w:p w14:paraId="1A92071B">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rPr>
      </w:pPr>
      <w:r>
        <w:rPr>
          <w:rFonts w:hint="eastAsia"/>
          <w:sz w:val="21"/>
        </w:rPr>
        <w:t>（2）在报告编制过程中，进行技术跟踪，及时发现、协调和解决技术问题，确保防汛论证技术咨询服务的内容满足主管部门评审的深度和要求，并通过专家评审。</w:t>
      </w:r>
    </w:p>
    <w:p w14:paraId="6F2748C9">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rPr>
      </w:pPr>
      <w:r>
        <w:rPr>
          <w:rFonts w:hint="eastAsia"/>
          <w:sz w:val="21"/>
        </w:rPr>
        <w:t>（3）承担由政府有关法律和规定中确定的应由咨询技术服务方承担的相应责任。</w:t>
      </w:r>
    </w:p>
    <w:p w14:paraId="512026C7">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rPr>
      </w:pPr>
      <w:r>
        <w:rPr>
          <w:rFonts w:hint="eastAsia"/>
          <w:sz w:val="21"/>
        </w:rPr>
        <w:t>（4）提供评审所需数量的技术咨询服务报告；</w:t>
      </w:r>
    </w:p>
    <w:p w14:paraId="597C7F87">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rPr>
      </w:pPr>
      <w:r>
        <w:rPr>
          <w:rFonts w:hint="eastAsia"/>
          <w:sz w:val="21"/>
        </w:rPr>
        <w:t>（5）负责支付技术咨询服务评审的专家评审费用。</w:t>
      </w:r>
    </w:p>
    <w:p w14:paraId="183532B7">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rPr>
      </w:pPr>
      <w:r>
        <w:rPr>
          <w:rFonts w:hint="eastAsia"/>
          <w:sz w:val="21"/>
        </w:rPr>
        <w:t>（6）对本工程防汛论证技术咨询报告负责。</w:t>
      </w:r>
    </w:p>
    <w:p w14:paraId="28D63F42">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rPr>
      </w:pPr>
      <w:r>
        <w:rPr>
          <w:rFonts w:hint="eastAsia"/>
          <w:sz w:val="21"/>
        </w:rPr>
        <w:t>（7）编制成果需给采购人提供盖章电子版（PDF格式），及纸质版。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pStyle w:val="7"/>
      <w:suff w:val="space"/>
      <w:lvlText w:val="第%1章"/>
      <w:lvlJc w:val="left"/>
      <w:rPr>
        <w:rFonts w:hint="default" w:ascii="黑体" w:hAnsi="黑体" w:eastAsia="黑体" w:cs="黑体"/>
        <w:b/>
        <w:i w:val="0"/>
        <w:strike w:val="0"/>
        <w:color w:val="auto"/>
        <w:position w:val="0"/>
        <w:sz w:val="44"/>
        <w:u w:val="none"/>
        <w:shd w:val="clear" w:color="auto" w:fil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991"/>
    <w:rsid w:val="000D617A"/>
    <w:rsid w:val="0016661D"/>
    <w:rsid w:val="001C37B7"/>
    <w:rsid w:val="001D15ED"/>
    <w:rsid w:val="0035775A"/>
    <w:rsid w:val="003A419A"/>
    <w:rsid w:val="0042104B"/>
    <w:rsid w:val="00457FE0"/>
    <w:rsid w:val="004619FF"/>
    <w:rsid w:val="004821A6"/>
    <w:rsid w:val="00554EF9"/>
    <w:rsid w:val="005C64AA"/>
    <w:rsid w:val="006032D0"/>
    <w:rsid w:val="0060439E"/>
    <w:rsid w:val="00654627"/>
    <w:rsid w:val="006640F1"/>
    <w:rsid w:val="00676F92"/>
    <w:rsid w:val="007A6991"/>
    <w:rsid w:val="007E2F1B"/>
    <w:rsid w:val="009416F9"/>
    <w:rsid w:val="009816D4"/>
    <w:rsid w:val="00A70A5B"/>
    <w:rsid w:val="00B9546E"/>
    <w:rsid w:val="00CC0198"/>
    <w:rsid w:val="00FB5632"/>
    <w:rsid w:val="29605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宋体"/>
      <w:kern w:val="0"/>
      <w:sz w:val="24"/>
      <w:szCs w:val="24"/>
      <w:lang w:val="zh-CN" w:eastAsia="zh-CN" w:bidi="zh-CN"/>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6">
    <w:name w:val="[Normal]"/>
    <w:qFormat/>
    <w:uiPriority w:val="0"/>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宋体"/>
      <w:kern w:val="0"/>
      <w:sz w:val="24"/>
      <w:szCs w:val="24"/>
      <w:lang w:val="zh-CN" w:eastAsia="zh-CN" w:bidi="zh-CN"/>
    </w:rPr>
  </w:style>
  <w:style w:type="paragraph" w:customStyle="1" w:styleId="7">
    <w:name w:val="标题1"/>
    <w:basedOn w:val="6"/>
    <w:qFormat/>
    <w:uiPriority w:val="0"/>
    <w:pPr>
      <w:numPr>
        <w:ilvl w:val="0"/>
        <w:numId w:val="1"/>
      </w:numPr>
      <w:spacing w:before="340" w:after="340" w:line="360" w:lineRule="auto"/>
    </w:pPr>
    <w:rPr>
      <w:rFonts w:ascii="黑体" w:hAnsi="黑体" w:eastAsia="黑体" w:cs="黑体"/>
      <w:b/>
      <w:bCs/>
      <w:sz w:val="44"/>
      <w:szCs w:val="44"/>
    </w:rPr>
  </w:style>
  <w:style w:type="paragraph" w:styleId="8">
    <w:name w:val="List Paragraph"/>
    <w:basedOn w:val="1"/>
    <w:qFormat/>
    <w:uiPriority w:val="0"/>
    <w:pPr>
      <w:ind w:firstLine="420"/>
      <w:jc w:val="left"/>
    </w:pPr>
    <w:rPr>
      <w:sz w:val="21"/>
      <w:szCs w:val="21"/>
    </w:rPr>
  </w:style>
  <w:style w:type="character" w:customStyle="1" w:styleId="9">
    <w:name w:val="页眉 Char"/>
    <w:basedOn w:val="5"/>
    <w:link w:val="3"/>
    <w:uiPriority w:val="99"/>
    <w:rPr>
      <w:rFonts w:ascii="宋体" w:hAnsi="宋体" w:eastAsia="宋体" w:cs="宋体"/>
      <w:kern w:val="0"/>
      <w:sz w:val="18"/>
      <w:szCs w:val="18"/>
      <w:lang w:val="zh-CN" w:bidi="zh-CN"/>
    </w:rPr>
  </w:style>
  <w:style w:type="character" w:customStyle="1" w:styleId="10">
    <w:name w:val="页脚 Char"/>
    <w:basedOn w:val="5"/>
    <w:link w:val="2"/>
    <w:uiPriority w:val="99"/>
    <w:rPr>
      <w:rFonts w:ascii="宋体" w:hAnsi="宋体" w:eastAsia="宋体" w:cs="宋体"/>
      <w:kern w:val="0"/>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1613</Words>
  <Characters>1790</Characters>
  <Lines>13</Lines>
  <Paragraphs>3</Paragraphs>
  <TotalTime>20</TotalTime>
  <ScaleCrop>false</ScaleCrop>
  <LinksUpToDate>false</LinksUpToDate>
  <CharactersWithSpaces>1802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2025-08-15T06:39:00Z</dcterms:created>
  <dc:creator>龚建伟</dc:creator>
  <cp:lastModifiedBy>齊齐</cp:lastModifiedBy>
  <dcterms:modified xsi:type="dcterms:W3CDTF">2025-08-18T06:26:35Z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eyJoZGlkIjoiZWQ3YzIyODJiYzRiZWVkOWNjYjEwMTE4NjBjMjMzODQiLCJ1c2VySWQiOiIxMDQ4NjU4MTQxIn0=</vt:lpwstr>
  </property>
  <property fmtid="{D5CDD505-2E9C-101B-9397-08002B2CF9AE}" pid="3" name="KSOProductBuildVer">
    <vt:lpwstr>2052-12.1.0.21915</vt:lpwstr>
  </property>
  <property fmtid="{D5CDD505-2E9C-101B-9397-08002B2CF9AE}" pid="4" name="ICV">
    <vt:lpwstr>44A87955E3DA4A16972BED9371E9C9F0_12</vt:lpwstr>
  </property>
</Properties>
</file>