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D61D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 w:bidi="en-US"/>
        </w:rPr>
        <w:t>上海外国语大学</w:t>
      </w:r>
      <w:bookmarkStart w:id="3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en-US"/>
        </w:rPr>
        <w:t>虹口生活区1、2、6、7号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en-US"/>
        </w:rPr>
        <w:t>学生宿舍</w:t>
      </w:r>
      <w:bookmarkEnd w:id="3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 w:bidi="en-US"/>
        </w:rPr>
        <w:t>房屋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en-US"/>
        </w:rPr>
        <w:t>抗震鉴定服务比选采购需求书</w:t>
      </w:r>
    </w:p>
    <w:p w14:paraId="4A94251A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bidi="en-US"/>
        </w:rPr>
      </w:pPr>
    </w:p>
    <w:p w14:paraId="6A476D6A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ind w:firstLine="420"/>
        <w:jc w:val="both"/>
        <w:rPr>
          <w:rFonts w:hint="eastAsia" w:ascii="仿宋_GB2312" w:hAnsi="仿宋_GB2312" w:eastAsia="仿宋_GB2312" w:cs="仿宋_GB2312"/>
          <w:b/>
          <w:sz w:val="24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</w:rPr>
        <w:t>一、项目简介</w:t>
      </w:r>
    </w:p>
    <w:p w14:paraId="513D6C8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本项目为虹口生活区1、2、6、7号学生宿舍为整楼整体修缮整体修缮，现状为地上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4"/>
          <w:szCs w:val="32"/>
        </w:rPr>
        <w:t>层，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1号楼（1幢，1578平方米），2号楼（5幢，1582.8平方米），6号楼（11幢，3057.6平方米），7号楼（13幢，3049平方米）</w:t>
      </w:r>
      <w:r>
        <w:rPr>
          <w:rFonts w:hint="eastAsia" w:ascii="仿宋_GB2312" w:hAnsi="仿宋_GB2312" w:eastAsia="仿宋_GB2312" w:cs="仿宋_GB2312"/>
          <w:sz w:val="24"/>
          <w:szCs w:val="32"/>
        </w:rPr>
        <w:t>。</w:t>
      </w:r>
    </w:p>
    <w:p w14:paraId="3C78410B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ind w:firstLine="425"/>
        <w:jc w:val="both"/>
        <w:rPr>
          <w:rFonts w:hint="eastAsia" w:ascii="仿宋_GB2312" w:hAnsi="仿宋_GB2312" w:eastAsia="仿宋_GB2312" w:cs="仿宋_GB2312"/>
          <w:b/>
          <w:sz w:val="24"/>
          <w:szCs w:val="32"/>
          <w:lang w:val="en-US" w:bidi="en-US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  <w:lang w:val="en-US" w:bidi="en-US"/>
        </w:rPr>
        <w:t>二、</w:t>
      </w:r>
      <w:r>
        <w:rPr>
          <w:rFonts w:hint="eastAsia" w:ascii="仿宋_GB2312" w:hAnsi="仿宋_GB2312" w:eastAsia="仿宋_GB2312" w:cs="仿宋_GB2312"/>
          <w:b/>
          <w:sz w:val="24"/>
          <w:szCs w:val="32"/>
        </w:rPr>
        <w:t>检测范围</w:t>
      </w:r>
    </w:p>
    <w:p w14:paraId="653616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针对1、2、6、7号学生宿舍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4"/>
          <w:szCs w:val="32"/>
        </w:rPr>
        <w:t>个楼栋完成相关的房屋抗震鉴定工作，并出具正式鉴定报告，具体以满足设计及审图等要求为准。</w:t>
      </w:r>
    </w:p>
    <w:p w14:paraId="5D82A130">
      <w:pPr>
        <w:numPr>
          <w:ilvl w:val="0"/>
          <w:numId w:val="2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/>
        <w:rPr>
          <w:rFonts w:hint="eastAsia" w:ascii="仿宋_GB2312" w:hAnsi="仿宋_GB2312" w:eastAsia="仿宋_GB2312" w:cs="仿宋_GB2312"/>
          <w:b/>
          <w:kern w:val="0"/>
          <w:sz w:val="24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32"/>
          <w:lang w:val="en-US" w:eastAsia="zh-CN" w:bidi="zh-CN"/>
        </w:rPr>
        <w:t>投标单位资格要求</w:t>
      </w:r>
    </w:p>
    <w:p w14:paraId="321BF99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本次抗震鉴定招标的投标单位资格要求如下：</w:t>
      </w:r>
    </w:p>
    <w:p w14:paraId="66E3F00F">
      <w:pPr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 w:firstLineChars="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  <w:lang w:val="en-US" w:eastAsia="zh-CN" w:bidi="zh-CN"/>
        </w:rPr>
        <w:t>(1)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、中华人民共和国境内具有独立法人资格的单位，持有有效的营业执照；</w:t>
      </w:r>
    </w:p>
    <w:p w14:paraId="05336E3D">
      <w:pPr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 w:firstLineChars="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(2)、具有良好的商业信誉和合法经营记录，没有重大违法违规行为和不良记录；</w:t>
      </w:r>
    </w:p>
    <w:p w14:paraId="19767031">
      <w:pPr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 w:firstLineChars="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(3)、须具有房屋质量检测证书，具备履行合同所必需的设备和专业技术能力；</w:t>
      </w:r>
    </w:p>
    <w:p w14:paraId="56853CFE">
      <w:p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4"/>
          <w:szCs w:val="32"/>
          <w:lang w:val="en-US" w:bidi="en-US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  <w:lang w:val="en-US" w:eastAsia="zh-CN" w:bidi="en-US"/>
        </w:rPr>
        <w:t>四</w:t>
      </w:r>
      <w:r>
        <w:rPr>
          <w:rFonts w:hint="eastAsia" w:ascii="仿宋_GB2312" w:hAnsi="仿宋_GB2312" w:eastAsia="仿宋_GB2312" w:cs="仿宋_GB2312"/>
          <w:b/>
          <w:sz w:val="24"/>
          <w:szCs w:val="32"/>
          <w:lang w:val="en-US" w:bidi="en-US"/>
        </w:rPr>
        <w:t>、检测</w:t>
      </w:r>
      <w:r>
        <w:rPr>
          <w:rFonts w:hint="eastAsia" w:ascii="仿宋_GB2312" w:hAnsi="仿宋_GB2312" w:eastAsia="仿宋_GB2312" w:cs="仿宋_GB2312"/>
          <w:b/>
          <w:sz w:val="24"/>
          <w:szCs w:val="32"/>
        </w:rPr>
        <w:t>依据</w:t>
      </w:r>
    </w:p>
    <w:p w14:paraId="70F4030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1、本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sz w:val="24"/>
          <w:szCs w:val="32"/>
        </w:rPr>
        <w:t>书。</w:t>
      </w:r>
    </w:p>
    <w:p w14:paraId="5C24AC7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2、部分原施工图和前期政府相关文件等（缺失图纸需现场测绘复核）。</w:t>
      </w:r>
    </w:p>
    <w:p w14:paraId="05F8F60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3、项目现场实际情况（自行踏勘）。</w:t>
      </w:r>
    </w:p>
    <w:p w14:paraId="7CF4CD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4、国家、地方的相关法律、法规和技术规范，包括不限于以下标准和规范：</w:t>
      </w:r>
    </w:p>
    <w:p w14:paraId="31F6BE5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《建筑结构检测技术标准》GB/T50344-2019；</w:t>
      </w:r>
    </w:p>
    <w:p w14:paraId="5F44666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[2]《建筑变形测量规范》JGJ8-2016；</w:t>
      </w:r>
    </w:p>
    <w:p w14:paraId="5E18C9F1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[3]《混凝土中钢筋检测技术标准》JGJ/T152-2019；</w:t>
      </w:r>
    </w:p>
    <w:p w14:paraId="7808048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[4]《回弹法检测混凝土强度技术规程》JGJ/T23-2011；</w:t>
      </w:r>
    </w:p>
    <w:p w14:paraId="66A3ABE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[5]《砌体工程现场检测技术标准》GB/T50315-2011</w:t>
      </w:r>
    </w:p>
    <w:p w14:paraId="42F4513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OLE_LINK6"/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[6]《贯入法检测砌筑砂浆抗压强度技术规程》JGJ/T136-2017</w:t>
      </w:r>
      <w:bookmarkEnd w:id="0"/>
    </w:p>
    <w:p w14:paraId="55727F2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[7]《既有建筑鉴定与加固通用规范》GB55021-2021；</w:t>
      </w:r>
    </w:p>
    <w:p w14:paraId="6B7CF211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[8]《工程结构通用规范》GB55001-2021；</w:t>
      </w:r>
    </w:p>
    <w:p w14:paraId="335F65A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[9]《建筑地基基础设计规范》GB50007-2011；</w:t>
      </w:r>
    </w:p>
    <w:p w14:paraId="6DCC35B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bookmarkStart w:id="1" w:name="OLE_LINK18"/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[10]《建筑结构荷载规范》GB50009-2012</w:t>
      </w:r>
      <w:bookmarkEnd w:id="1"/>
    </w:p>
    <w:p w14:paraId="4E36DE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[11]《建筑抗震设计标准》GB/T50011-2016（2024版）</w:t>
      </w:r>
    </w:p>
    <w:p w14:paraId="29FF766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[12]《建筑抗震鉴定标准》（GB 50023-2009）；</w:t>
      </w:r>
    </w:p>
    <w:p w14:paraId="48E91C7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[13]《民用建筑可靠性鉴定标准》（GB 50292-2015）</w:t>
      </w:r>
    </w:p>
    <w:p w14:paraId="561A757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5、其他材料。</w:t>
      </w:r>
    </w:p>
    <w:p w14:paraId="7C06AE25">
      <w:p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4"/>
          <w:szCs w:val="32"/>
          <w:lang w:val="en-US" w:bidi="en-US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4"/>
          <w:szCs w:val="32"/>
        </w:rPr>
        <w:t>、检测内容</w:t>
      </w:r>
    </w:p>
    <w:p w14:paraId="5F74552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检测内容应包含但不限于：</w:t>
      </w:r>
    </w:p>
    <w:p w14:paraId="0CF2FE0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1．调查房屋建造信息资料</w:t>
      </w:r>
    </w:p>
    <w:p w14:paraId="6109067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2．房屋现场测绘复核</w:t>
      </w:r>
    </w:p>
    <w:p w14:paraId="324B24C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3．房屋楼屋面荷载调查</w:t>
      </w:r>
    </w:p>
    <w:p w14:paraId="07CFD78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4．房屋完损现状调查</w:t>
      </w:r>
    </w:p>
    <w:p w14:paraId="4B8CA7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5．材料强度检测</w:t>
      </w:r>
    </w:p>
    <w:p w14:paraId="6E0CF3D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6．钢筋配置情况检测</w:t>
      </w:r>
    </w:p>
    <w:p w14:paraId="01F3D06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7．房屋倾斜和相对高差测量</w:t>
      </w:r>
    </w:p>
    <w:p w14:paraId="018DFF8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8．抗震措施鉴定和结构承载力验算</w:t>
      </w:r>
    </w:p>
    <w:p w14:paraId="3F90427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9. 加固处理建议</w:t>
      </w:r>
    </w:p>
    <w:p w14:paraId="36472B8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10．</w:t>
      </w:r>
      <w:bookmarkStart w:id="2" w:name="_Toc177526625"/>
      <w:r>
        <w:rPr>
          <w:rFonts w:hint="eastAsia" w:ascii="仿宋_GB2312" w:hAnsi="仿宋_GB2312" w:eastAsia="仿宋_GB2312" w:cs="仿宋_GB2312"/>
          <w:sz w:val="24"/>
          <w:szCs w:val="32"/>
        </w:rPr>
        <w:t>出具正式鉴定报告配合项目推进</w:t>
      </w:r>
      <w:bookmarkEnd w:id="2"/>
    </w:p>
    <w:p w14:paraId="635DA26C">
      <w:p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4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sz w:val="24"/>
          <w:szCs w:val="32"/>
        </w:rPr>
        <w:t>、检测要求</w:t>
      </w:r>
    </w:p>
    <w:p w14:paraId="44AE108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本项目根据现场实际情况及报审要求进行检测，检测时间以不得影响项目推进进度要求为最低限。提交的报告应满足现行有效的国家、上海市设计规范及标准的要求，且应通过政府部门要求的技术及行政审查。</w:t>
      </w:r>
    </w:p>
    <w:p w14:paraId="04E3208F">
      <w:pPr>
        <w:numPr>
          <w:ilvl w:val="0"/>
          <w:numId w:val="3"/>
        </w:num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  <w:lang w:val="en-US" w:eastAsia="zh-CN"/>
        </w:rPr>
        <w:t>评分标准</w:t>
      </w:r>
    </w:p>
    <w:tbl>
      <w:tblPr>
        <w:tblStyle w:val="6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730"/>
        <w:gridCol w:w="656"/>
        <w:gridCol w:w="3975"/>
        <w:gridCol w:w="861"/>
      </w:tblGrid>
      <w:tr w14:paraId="1F91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99" w:type="dxa"/>
            <w:vAlign w:val="center"/>
          </w:tcPr>
          <w:p w14:paraId="315F30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730" w:type="dxa"/>
            <w:vAlign w:val="center"/>
          </w:tcPr>
          <w:p w14:paraId="6824D7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655" w:type="dxa"/>
            <w:vAlign w:val="center"/>
          </w:tcPr>
          <w:p w14:paraId="342A2F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3976" w:type="dxa"/>
            <w:vAlign w:val="center"/>
          </w:tcPr>
          <w:p w14:paraId="4977C4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861" w:type="dxa"/>
            <w:vAlign w:val="center"/>
          </w:tcPr>
          <w:p w14:paraId="479CB1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5416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Merge w:val="restart"/>
            <w:vAlign w:val="center"/>
          </w:tcPr>
          <w:p w14:paraId="0BA8D3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技术部分</w:t>
            </w:r>
          </w:p>
          <w:p w14:paraId="4D9BA0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（70分）</w:t>
            </w:r>
          </w:p>
        </w:tc>
        <w:tc>
          <w:tcPr>
            <w:tcW w:w="1730" w:type="dxa"/>
            <w:vAlign w:val="center"/>
          </w:tcPr>
          <w:p w14:paraId="72AC3C8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655" w:type="dxa"/>
            <w:vAlign w:val="center"/>
          </w:tcPr>
          <w:p w14:paraId="7D85AB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0-10</w:t>
            </w:r>
          </w:p>
        </w:tc>
        <w:tc>
          <w:tcPr>
            <w:tcW w:w="3976" w:type="dxa"/>
            <w:vAlign w:val="center"/>
          </w:tcPr>
          <w:p w14:paraId="0202DD6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每提供类似业绩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，上限6分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近 3 年无行政处罚、行业通报批评等不良记录，商业信誉良好得 4 分，有 1 次不良记录扣 2 分，2 次及以上不得分；</w:t>
            </w:r>
          </w:p>
        </w:tc>
        <w:tc>
          <w:tcPr>
            <w:tcW w:w="861" w:type="dxa"/>
            <w:vAlign w:val="center"/>
          </w:tcPr>
          <w:p w14:paraId="0989AB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DC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Merge w:val="continue"/>
            <w:vAlign w:val="center"/>
          </w:tcPr>
          <w:p w14:paraId="651175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1C2E784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服务人员配置</w:t>
            </w:r>
          </w:p>
        </w:tc>
        <w:tc>
          <w:tcPr>
            <w:tcW w:w="655" w:type="dxa"/>
            <w:vAlign w:val="center"/>
          </w:tcPr>
          <w:p w14:paraId="76C5852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</w:p>
        </w:tc>
        <w:tc>
          <w:tcPr>
            <w:tcW w:w="3976" w:type="dxa"/>
            <w:vAlign w:val="center"/>
          </w:tcPr>
          <w:p w14:paraId="13C072E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1. 项目负责人具备高级工程师职称且持有对应检测专业资格证书得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分，中级职称 + 资格证书得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分，无相关资质得 0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核心服务团队中，持有与项目相关有效资格证书的人员≥4 人得 5 分，2-3 人得 3 分，1 人得 1 分，0 人得 0 分；3. 团队成员近 3 年参与过类似检测项目的人数≥3 人得 4 分，1-2 人得 2 分，无相关经验得 0 分；</w:t>
            </w:r>
          </w:p>
        </w:tc>
        <w:tc>
          <w:tcPr>
            <w:tcW w:w="861" w:type="dxa"/>
            <w:vAlign w:val="center"/>
          </w:tcPr>
          <w:p w14:paraId="3727DA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3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Merge w:val="continue"/>
            <w:vAlign w:val="center"/>
          </w:tcPr>
          <w:p w14:paraId="2AE76A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29CA71D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投标文献编制</w:t>
            </w:r>
          </w:p>
        </w:tc>
        <w:tc>
          <w:tcPr>
            <w:tcW w:w="655" w:type="dxa"/>
            <w:vAlign w:val="center"/>
          </w:tcPr>
          <w:p w14:paraId="563B7D3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0-5</w:t>
            </w:r>
          </w:p>
        </w:tc>
        <w:tc>
          <w:tcPr>
            <w:tcW w:w="3976" w:type="dxa"/>
            <w:vAlign w:val="center"/>
          </w:tcPr>
          <w:p w14:paraId="1401779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装订牢固、目录清晰、逐页编码完整无缺失得 2 分，存在一项不达标扣 1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响应招标文件要求，资料齐全、表格规范、数据准确得 2 分，资料缺失 1 项扣 1 分，表格混乱、数据错误酌情扣 1-2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文献逻辑清晰、表述严谨、无歧义得 1 分，逻辑混乱、表述模糊酌情扣 0.5-1 分；</w:t>
            </w:r>
          </w:p>
        </w:tc>
        <w:tc>
          <w:tcPr>
            <w:tcW w:w="861" w:type="dxa"/>
            <w:vAlign w:val="center"/>
          </w:tcPr>
          <w:p w14:paraId="55C0EC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7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Merge w:val="continue"/>
            <w:vAlign w:val="center"/>
          </w:tcPr>
          <w:p w14:paraId="141430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21136C3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检测方案</w:t>
            </w:r>
          </w:p>
        </w:tc>
        <w:tc>
          <w:tcPr>
            <w:tcW w:w="655" w:type="dxa"/>
            <w:vAlign w:val="center"/>
          </w:tcPr>
          <w:p w14:paraId="1971B14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0-30</w:t>
            </w:r>
          </w:p>
        </w:tc>
        <w:tc>
          <w:tcPr>
            <w:tcW w:w="3976" w:type="dxa"/>
            <w:vAlign w:val="center"/>
          </w:tcPr>
          <w:p w14:paraId="7C7E146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检测范围全面覆盖招标文件要求，无遗漏得 6 分，每遗漏 1 项核心内容扣 1.5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检测目的明确、贴合项目实际需求得 3 分，目的模糊扣 1-2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检测工作内容具体、分工明确，涵盖关键环节得 8 分，内容笼统、分工不清酌情扣 3-5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4. 检测方法科学合规、技术路线可行，适配项目场景得 6 分，方法不合理、路线不可行扣 2-6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5. 检测进度安排合理，关键节点清晰、工期可控得 3 分，进度混乱、工期不合理扣 1-2 分；6. 质量控制措施完善，包含过程校验、结果复核、异常处理等环节得 4 分，措施缺失或不完善扣 1-3 分；</w:t>
            </w:r>
          </w:p>
        </w:tc>
        <w:tc>
          <w:tcPr>
            <w:tcW w:w="861" w:type="dxa"/>
            <w:vAlign w:val="center"/>
          </w:tcPr>
          <w:p w14:paraId="6DA76A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EF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Merge w:val="continue"/>
            <w:vAlign w:val="center"/>
          </w:tcPr>
          <w:p w14:paraId="039A81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3384E95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服务能力</w:t>
            </w:r>
          </w:p>
        </w:tc>
        <w:tc>
          <w:tcPr>
            <w:tcW w:w="655" w:type="dxa"/>
            <w:vAlign w:val="center"/>
          </w:tcPr>
          <w:p w14:paraId="3FDF14F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0-10</w:t>
            </w:r>
          </w:p>
        </w:tc>
        <w:tc>
          <w:tcPr>
            <w:tcW w:w="3976" w:type="dxa"/>
            <w:vAlign w:val="center"/>
          </w:tcPr>
          <w:p w14:paraId="6F8DB5CE">
            <w:pPr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工作方案实用性强，可直接指导项目实施得 3 分，实用性不足扣 1-2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应急响应机制健全，明确突发问题处理流程及时限（≤24 小时响应）得 3 分，机制不明确或响应时限过长扣 1-2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提供完善的售后技术支持（含成果解读、后续咨询、问题整改）得 2 分，仅提供部分支持得 1 分，无售后保障不得分；</w:t>
            </w:r>
          </w:p>
          <w:p w14:paraId="1E48FD5E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4. 服务承诺具体可落地（如成果交付周期、误差率承诺）得 2 分，承诺模糊扣 1 分；</w:t>
            </w:r>
          </w:p>
        </w:tc>
        <w:tc>
          <w:tcPr>
            <w:tcW w:w="861" w:type="dxa"/>
            <w:vAlign w:val="center"/>
          </w:tcPr>
          <w:p w14:paraId="28AA29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83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Align w:val="center"/>
          </w:tcPr>
          <w:p w14:paraId="7113B3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价格部分</w:t>
            </w:r>
          </w:p>
          <w:p w14:paraId="7A7EA3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（30分）</w:t>
            </w:r>
          </w:p>
        </w:tc>
        <w:tc>
          <w:tcPr>
            <w:tcW w:w="6361" w:type="dxa"/>
            <w:gridSpan w:val="3"/>
            <w:vAlign w:val="center"/>
          </w:tcPr>
          <w:p w14:paraId="0302ED1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综合评分法中的价格统一采用低价优先计算，即满足竞标文献规定且投标价格最低的投标报价作为评标基准价，其价格分为满分。</w:t>
            </w:r>
          </w:p>
          <w:p w14:paraId="2CC2A37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其他投标人的价格分统一按照下列公式计算：</w:t>
            </w:r>
          </w:p>
          <w:p w14:paraId="48D0166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投标报价得分=（评标基准价/投标价格）*30%*100</w:t>
            </w:r>
          </w:p>
        </w:tc>
        <w:tc>
          <w:tcPr>
            <w:tcW w:w="861" w:type="dxa"/>
            <w:vAlign w:val="center"/>
          </w:tcPr>
          <w:p w14:paraId="410C20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0-30</w:t>
            </w:r>
          </w:p>
        </w:tc>
      </w:tr>
      <w:tr w14:paraId="610B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60" w:type="dxa"/>
            <w:gridSpan w:val="4"/>
            <w:vAlign w:val="center"/>
          </w:tcPr>
          <w:p w14:paraId="72B68F4F">
            <w:pPr>
              <w:tabs>
                <w:tab w:val="left" w:pos="4767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61" w:type="dxa"/>
            <w:vAlign w:val="center"/>
          </w:tcPr>
          <w:p w14:paraId="28FCC9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CE9AA8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rPr>
          <w:rFonts w:hint="eastAsia" w:ascii="仿宋_GB2312" w:hAnsi="仿宋_GB2312" w:eastAsia="仿宋_GB2312" w:cs="仿宋_GB2312"/>
          <w:sz w:val="24"/>
          <w:szCs w:val="32"/>
        </w:rPr>
      </w:pPr>
    </w:p>
    <w:p w14:paraId="5A9DD0B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A0CA2E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C46EAA">
      <w:pPr>
        <w:snapToGrid w:val="0"/>
        <w:ind w:left="0" w:leftChars="0" w:right="0" w:rightChars="0" w:firstLine="0" w:firstLineChars="0"/>
        <w:jc w:val="right"/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上海外国语大学基建处</w:t>
      </w:r>
    </w:p>
    <w:p w14:paraId="28D63F42">
      <w:pPr>
        <w:snapToGrid w:val="0"/>
        <w:ind w:left="0" w:leftChars="0" w:right="0" w:rightChars="0" w:firstLine="0" w:firstLineChars="0"/>
        <w:jc w:val="right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2025年12月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2121B"/>
    <w:multiLevelType w:val="singleLevel"/>
    <w:tmpl w:val="9C52121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7A4382"/>
    <w:multiLevelType w:val="singleLevel"/>
    <w:tmpl w:val="AC7A438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F1D197C"/>
    <w:multiLevelType w:val="singleLevel"/>
    <w:tmpl w:val="AF1D19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pStyle w:val="10"/>
      <w:suff w:val="space"/>
      <w:lvlText w:val="第%1章"/>
      <w:lvlJc w:val="left"/>
      <w:rPr>
        <w:rFonts w:hint="default" w:ascii="黑体" w:hAnsi="黑体" w:eastAsia="黑体" w:cs="黑体"/>
        <w:b/>
        <w:i w:val="0"/>
        <w:strike w:val="0"/>
        <w:color w:val="auto"/>
        <w:position w:val="0"/>
        <w:sz w:val="44"/>
        <w:u w:val="none"/>
        <w:shd w:val="clear" w:color="auto" w:fill="aut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91"/>
    <w:rsid w:val="0003088D"/>
    <w:rsid w:val="000D3BD6"/>
    <w:rsid w:val="000D617A"/>
    <w:rsid w:val="0016661D"/>
    <w:rsid w:val="00191622"/>
    <w:rsid w:val="001D15ED"/>
    <w:rsid w:val="002368E5"/>
    <w:rsid w:val="00283299"/>
    <w:rsid w:val="0035775A"/>
    <w:rsid w:val="00397E5A"/>
    <w:rsid w:val="003A419A"/>
    <w:rsid w:val="003B175A"/>
    <w:rsid w:val="004821A6"/>
    <w:rsid w:val="006032D0"/>
    <w:rsid w:val="00654627"/>
    <w:rsid w:val="00676F92"/>
    <w:rsid w:val="007A6991"/>
    <w:rsid w:val="007E320E"/>
    <w:rsid w:val="00931F5D"/>
    <w:rsid w:val="009416F9"/>
    <w:rsid w:val="009816D4"/>
    <w:rsid w:val="00A25C95"/>
    <w:rsid w:val="00BC38F0"/>
    <w:rsid w:val="00DE2F81"/>
    <w:rsid w:val="00E10A78"/>
    <w:rsid w:val="00E42E15"/>
    <w:rsid w:val="00E4721B"/>
    <w:rsid w:val="00E54E16"/>
    <w:rsid w:val="00E55942"/>
    <w:rsid w:val="00FB5632"/>
    <w:rsid w:val="0EA06D76"/>
    <w:rsid w:val="11295C78"/>
    <w:rsid w:val="12310FCC"/>
    <w:rsid w:val="1A591AFF"/>
    <w:rsid w:val="4B671C1C"/>
    <w:rsid w:val="6293296B"/>
    <w:rsid w:val="6C5555D7"/>
    <w:rsid w:val="78175E36"/>
    <w:rsid w:val="7B1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0"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spacing w:line="240" w:lineRule="auto"/>
      <w:jc w:val="left"/>
    </w:pPr>
    <w:rPr>
      <w:rFonts w:ascii="Times New Roman" w:hAnsi="Times New Roman" w:cs="Times New Roman"/>
      <w:sz w:val="20"/>
      <w:lang w:val="en-US" w:bidi="ar-SA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qFormat/>
    <w:uiPriority w:val="0"/>
    <w:rPr>
      <w:sz w:val="21"/>
      <w:szCs w:val="21"/>
    </w:rPr>
  </w:style>
  <w:style w:type="paragraph" w:customStyle="1" w:styleId="9">
    <w:name w:val="[Normal]"/>
    <w:qFormat/>
    <w:uiPriority w:val="0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eastAsia="宋体" w:cs="宋体"/>
      <w:kern w:val="0"/>
      <w:sz w:val="24"/>
      <w:szCs w:val="24"/>
      <w:lang w:val="zh-CN" w:eastAsia="zh-CN" w:bidi="zh-CN"/>
    </w:rPr>
  </w:style>
  <w:style w:type="paragraph" w:customStyle="1" w:styleId="10">
    <w:name w:val="标题1"/>
    <w:basedOn w:val="9"/>
    <w:qFormat/>
    <w:uiPriority w:val="0"/>
    <w:pPr>
      <w:numPr>
        <w:ilvl w:val="0"/>
        <w:numId w:val="1"/>
      </w:numPr>
      <w:spacing w:before="340" w:after="340" w:line="360" w:lineRule="auto"/>
    </w:pPr>
    <w:rPr>
      <w:rFonts w:ascii="黑体" w:hAnsi="黑体" w:eastAsia="黑体" w:cs="黑体"/>
      <w:b/>
      <w:bCs/>
      <w:sz w:val="44"/>
      <w:szCs w:val="44"/>
    </w:rPr>
  </w:style>
  <w:style w:type="paragraph" w:styleId="11">
    <w:name w:val="List Paragraph"/>
    <w:basedOn w:val="1"/>
    <w:link w:val="14"/>
    <w:qFormat/>
    <w:uiPriority w:val="34"/>
    <w:pPr>
      <w:ind w:firstLine="420"/>
      <w:jc w:val="left"/>
    </w:pPr>
    <w:rPr>
      <w:sz w:val="21"/>
      <w:szCs w:val="21"/>
    </w:rPr>
  </w:style>
  <w:style w:type="character" w:customStyle="1" w:styleId="12">
    <w:name w:val="页眉 字符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4">
    <w:name w:val="列表段落 字符"/>
    <w:link w:val="11"/>
    <w:autoRedefine/>
    <w:qFormat/>
    <w:uiPriority w:val="34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15">
    <w:name w:val="批注文字 字符"/>
    <w:basedOn w:val="7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1554</Words>
  <Characters>1807</Characters>
  <Lines>6</Lines>
  <Paragraphs>1</Paragraphs>
  <TotalTime>4</TotalTime>
  <ScaleCrop>false</ScaleCrop>
  <LinksUpToDate>false</LinksUpToDate>
  <CharactersWithSpaces>1917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2025-12-01T03:20:00Z</dcterms:created>
  <dc:creator>龚建伟</dc:creator>
  <cp:lastModifiedBy>神奇的office</cp:lastModifiedBy>
  <dcterms:modified xsi:type="dcterms:W3CDTF">2025-12-17T05:15:48Z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68689C8D80E348EA9A64F4F57D888260_13</vt:lpwstr>
  </property>
  <property fmtid="{D5CDD505-2E9C-101B-9397-08002B2CF9AE}" pid="4" name="KSOTemplateDocerSaveRecord">
    <vt:lpwstr>eyJoZGlkIjoiZTExNWZmM2FmNTcxZDBhOGUzZDMxZjcyMDJhMTQ5MWIiLCJ1c2VySWQiOiIyOTQ2ODk2MjkifQ==</vt:lpwstr>
  </property>
</Properties>
</file>