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D61D">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lang w:val="en-US" w:bidi="en-US"/>
        </w:rPr>
      </w:pPr>
      <w:r>
        <w:rPr>
          <w:rFonts w:hint="eastAsia" w:ascii="黑体" w:hAnsi="黑体" w:eastAsia="黑体" w:cs="黑体"/>
          <w:b/>
          <w:bCs/>
          <w:color w:val="000000"/>
          <w:sz w:val="44"/>
          <w:szCs w:val="44"/>
          <w:lang w:val="en-US" w:bidi="en-US"/>
        </w:rPr>
        <w:t>上海外国语大学松江校区学生公寓综合体节水评估服务比选采购需求书</w:t>
      </w:r>
    </w:p>
    <w:p w14:paraId="4A94251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lang w:val="en-US" w:bidi="en-US"/>
        </w:rPr>
      </w:pPr>
    </w:p>
    <w:p w14:paraId="6A476D6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ind w:firstLine="420"/>
        <w:jc w:val="both"/>
        <w:rPr>
          <w:b/>
          <w:sz w:val="21"/>
        </w:rPr>
      </w:pPr>
      <w:r>
        <w:rPr>
          <w:b/>
          <w:sz w:val="21"/>
        </w:rPr>
        <w:t>一、项目简介</w:t>
      </w:r>
    </w:p>
    <w:p w14:paraId="513D6C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rPr>
      </w:pPr>
      <w:r>
        <w:rPr>
          <w:rFonts w:hint="eastAsia"/>
          <w:sz w:val="21"/>
        </w:rPr>
        <w:t>本项目拟先拆除场地内原有</w:t>
      </w:r>
      <w:r>
        <w:rPr>
          <w:sz w:val="21"/>
        </w:rPr>
        <w:t>20栋既有多层房屋（建筑面积合计约5,140平方米），平整场地后在其位置上建设高层建筑，建筑高度不高于50米。项目用地面积 15,761 平方米，</w:t>
      </w:r>
      <w:r>
        <w:rPr>
          <w:rFonts w:hint="eastAsia"/>
          <w:sz w:val="21"/>
        </w:rPr>
        <w:t>总建筑面积拟为</w:t>
      </w:r>
      <w:r>
        <w:rPr>
          <w:sz w:val="21"/>
        </w:rPr>
        <w:t>40,100平方米</w:t>
      </w:r>
      <w:r>
        <w:rPr>
          <w:rFonts w:hint="eastAsia"/>
          <w:sz w:val="21"/>
        </w:rPr>
        <w:t>，</w:t>
      </w:r>
      <w:r>
        <w:rPr>
          <w:sz w:val="21"/>
        </w:rPr>
        <w:t>地上建筑主要建设内容为学生宿舍、师生活动用房和食堂；地下建筑主要为食堂厨房、人防地下汽车库及设备用房。</w:t>
      </w:r>
    </w:p>
    <w:p w14:paraId="225D745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rPr>
      </w:pPr>
      <w:r>
        <w:rPr>
          <w:rFonts w:hint="eastAsia"/>
          <w:sz w:val="21"/>
        </w:rPr>
        <w:t>项目基地位于松江校区内，校区已投入使用多年，供电、给排水等市政基本配套设施完善。</w:t>
      </w:r>
      <w:r>
        <w:rPr>
          <w:sz w:val="21"/>
        </w:rPr>
        <w:t xml:space="preserve"> 从北侧及东侧临近的市政道路市政给水管道上，</w:t>
      </w:r>
      <w:r>
        <w:rPr>
          <w:rFonts w:hint="eastAsia"/>
          <w:sz w:val="21"/>
          <w:lang w:val="en-US" w:eastAsia="zh-CN"/>
        </w:rPr>
        <w:t>拟</w:t>
      </w:r>
      <w:r>
        <w:rPr>
          <w:sz w:val="21"/>
        </w:rPr>
        <w:t>分别引入一路（共两路）DN200 给水管在新建地块内成环供生活用水，市政管网保障供水压力暂按0.16MPa考虑。生活用水量包括食堂用水量，宿舍用水量，以及未预见水量。最高日用水量 470m</w:t>
      </w:r>
      <w:r>
        <w:rPr>
          <w:sz w:val="21"/>
          <w:vertAlign w:val="superscript"/>
        </w:rPr>
        <w:t>3</w:t>
      </w:r>
      <w:r>
        <w:rPr>
          <w:sz w:val="21"/>
        </w:rPr>
        <w:t>/d，最大时用水量55m</w:t>
      </w:r>
      <w:r>
        <w:rPr>
          <w:sz w:val="21"/>
          <w:vertAlign w:val="superscript"/>
        </w:rPr>
        <w:t>3</w:t>
      </w:r>
      <w:r>
        <w:rPr>
          <w:sz w:val="21"/>
        </w:rPr>
        <w:t>/h。（绿化及道路浇洒平时由雨水回用系统系统保证）。</w:t>
      </w:r>
    </w:p>
    <w:p w14:paraId="3C78410B">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firstLine="425"/>
        <w:jc w:val="both"/>
        <w:rPr>
          <w:b/>
          <w:sz w:val="21"/>
          <w:lang w:val="en-US" w:bidi="en-US"/>
        </w:rPr>
      </w:pPr>
      <w:r>
        <w:rPr>
          <w:b/>
          <w:sz w:val="21"/>
          <w:lang w:val="en-US" w:bidi="en-US"/>
        </w:rPr>
        <w:t>二、</w:t>
      </w:r>
      <w:r>
        <w:rPr>
          <w:rFonts w:hint="eastAsia"/>
          <w:b/>
          <w:sz w:val="21"/>
        </w:rPr>
        <w:t>节水评估</w:t>
      </w:r>
      <w:r>
        <w:rPr>
          <w:b/>
          <w:sz w:val="21"/>
        </w:rPr>
        <w:t>范围</w:t>
      </w:r>
    </w:p>
    <w:p w14:paraId="6C6414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sz w:val="21"/>
          <w:lang w:val="en-US" w:bidi="en-US"/>
        </w:rPr>
      </w:pPr>
      <w:r>
        <w:rPr>
          <w:sz w:val="21"/>
        </w:rPr>
        <w:t>本工程的各</w:t>
      </w:r>
      <w:r>
        <w:rPr>
          <w:rFonts w:hint="eastAsia"/>
          <w:sz w:val="21"/>
        </w:rPr>
        <w:t>节水设施</w:t>
      </w:r>
      <w:r>
        <w:rPr>
          <w:sz w:val="21"/>
        </w:rPr>
        <w:t>施工图设计文件、各</w:t>
      </w:r>
      <w:r>
        <w:rPr>
          <w:rFonts w:hint="eastAsia"/>
          <w:sz w:val="21"/>
        </w:rPr>
        <w:t>用水量</w:t>
      </w:r>
      <w:r>
        <w:rPr>
          <w:sz w:val="21"/>
        </w:rPr>
        <w:t>设计计算书等，包括但不限于</w:t>
      </w:r>
      <w:r>
        <w:rPr>
          <w:color w:val="000000"/>
          <w:sz w:val="21"/>
        </w:rPr>
        <w:t>给排水、暖通、电气以及消防等专业</w:t>
      </w:r>
      <w:r>
        <w:rPr>
          <w:sz w:val="21"/>
          <w:lang w:val="en-US" w:bidi="en-US"/>
        </w:rPr>
        <w:t>。</w:t>
      </w:r>
    </w:p>
    <w:p w14:paraId="56853C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lang w:val="en-US" w:bidi="en-US"/>
        </w:rPr>
      </w:pPr>
      <w:r>
        <w:rPr>
          <w:b/>
          <w:sz w:val="21"/>
          <w:lang w:val="en-US" w:bidi="en-US"/>
        </w:rPr>
        <w:t>三、</w:t>
      </w:r>
      <w:r>
        <w:rPr>
          <w:rFonts w:hint="eastAsia"/>
          <w:b/>
          <w:sz w:val="21"/>
        </w:rPr>
        <w:t>节水评估</w:t>
      </w:r>
      <w:r>
        <w:rPr>
          <w:b/>
          <w:sz w:val="21"/>
        </w:rPr>
        <w:t>依据（包括但不限于）</w:t>
      </w:r>
    </w:p>
    <w:p w14:paraId="1CD43B2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1）《中华人民共和国水法》</w:t>
      </w:r>
    </w:p>
    <w:p w14:paraId="14ED6BD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2）《中共中央国务院关于加快水利改革发展的决定》</w:t>
      </w:r>
    </w:p>
    <w:p w14:paraId="734E941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3）《节水型建设“十三五”规划》</w:t>
      </w:r>
    </w:p>
    <w:p w14:paraId="2894C5D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4）《上海市供水管理条列》</w:t>
      </w:r>
    </w:p>
    <w:p w14:paraId="6E75E6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5）《上海市节约用水管理办法》</w:t>
      </w:r>
    </w:p>
    <w:p w14:paraId="3C15B4F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6）《上海市用水定额（试行）》</w:t>
      </w:r>
    </w:p>
    <w:p w14:paraId="27CC722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7）《上海市节约用水“三同时、四到位”管理规定》</w:t>
      </w:r>
    </w:p>
    <w:p w14:paraId="6942FBE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8）《关于本市巩固节水型城市创建成果加强节水型社会（城市）建设的实施意见》</w:t>
      </w:r>
    </w:p>
    <w:p w14:paraId="49C6DBA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9）《上海市用水定额（试行）》</w:t>
      </w:r>
    </w:p>
    <w:p w14:paraId="6CE596D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10）《节水型企业评价导则》 GB/T 7119-2018</w:t>
      </w:r>
    </w:p>
    <w:p w14:paraId="3ED8BC0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11）《水平衡测试通则》 GB/T12452-2022</w:t>
      </w:r>
    </w:p>
    <w:p w14:paraId="1BB13C9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12）《民用建筑节水设计标准》 GB 50555-2010</w:t>
      </w:r>
    </w:p>
    <w:p w14:paraId="796F537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13）《建筑给水排水节水通用规范》 GB 55020-2021</w:t>
      </w:r>
    </w:p>
    <w:p w14:paraId="3EE1BC7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14）《自动喷水灭火系统设计规范》 GB 50084-2017</w:t>
      </w:r>
    </w:p>
    <w:p w14:paraId="75072E8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15）《室外给水设计标准》 GB 50013-2018</w:t>
      </w:r>
    </w:p>
    <w:p w14:paraId="4EFDBE7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以上文件若有更新修正，以最新版本文件为准。</w:t>
      </w:r>
    </w:p>
    <w:p w14:paraId="7C06AE2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lang w:val="en-US" w:bidi="en-US"/>
        </w:rPr>
      </w:pPr>
      <w:r>
        <w:rPr>
          <w:b/>
          <w:sz w:val="21"/>
        </w:rPr>
        <w:t>四、</w:t>
      </w:r>
      <w:r>
        <w:rPr>
          <w:rFonts w:hint="eastAsia"/>
          <w:b/>
          <w:sz w:val="21"/>
        </w:rPr>
        <w:t>节水评估</w:t>
      </w:r>
      <w:r>
        <w:rPr>
          <w:b/>
          <w:sz w:val="21"/>
        </w:rPr>
        <w:t>内容</w:t>
      </w:r>
    </w:p>
    <w:p w14:paraId="675F6D2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1）数据汇总分析；图纸汇总；</w:t>
      </w:r>
    </w:p>
    <w:p w14:paraId="52EAA19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2）用水工艺分析：</w:t>
      </w:r>
    </w:p>
    <w:p w14:paraId="0E4621C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3）用水设施分析与推荐；</w:t>
      </w:r>
    </w:p>
    <w:p w14:paraId="338BB0A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4）节水方案；设施整改方案；</w:t>
      </w:r>
    </w:p>
    <w:p w14:paraId="1104E83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5）水资源再利用方案制订，并与施工、改建配套工程结合，制订改建方案</w:t>
      </w:r>
    </w:p>
    <w:p w14:paraId="044C3409">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6）用水合理性分析：</w:t>
      </w:r>
    </w:p>
    <w:p w14:paraId="7A74F264">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7）日常用水管理分析：</w:t>
      </w:r>
    </w:p>
    <w:p w14:paraId="7383DE3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8）用水量分析与预测</w:t>
      </w:r>
    </w:p>
    <w:p w14:paraId="24F0AF6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9）节水评估项目报告撰写；</w:t>
      </w:r>
    </w:p>
    <w:p w14:paraId="40870BD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10）专家评审会；</w:t>
      </w:r>
    </w:p>
    <w:p w14:paraId="635DA2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rPr>
      </w:pPr>
      <w:r>
        <w:rPr>
          <w:rFonts w:hint="eastAsia"/>
          <w:sz w:val="21"/>
        </w:rPr>
        <w:t>（</w:t>
      </w:r>
      <w:r>
        <w:rPr>
          <w:sz w:val="21"/>
        </w:rPr>
        <w:t>11）计算项目建成投入使用后整体用水量，根据甲方需求协助甲方申报用水定额。</w:t>
      </w:r>
      <w:r>
        <w:rPr>
          <w:rFonts w:hint="eastAsia"/>
          <w:b/>
          <w:sz w:val="21"/>
          <w:lang w:val="en-US" w:eastAsia="zh-CN"/>
        </w:rPr>
        <w:tab/>
      </w:r>
      <w:r>
        <w:rPr>
          <w:rFonts w:hint="eastAsia"/>
          <w:b/>
          <w:sz w:val="21"/>
          <w:lang w:val="en-US" w:eastAsia="zh-CN"/>
        </w:rPr>
        <w:t>五、</w:t>
      </w:r>
      <w:r>
        <w:rPr>
          <w:rFonts w:hint="eastAsia"/>
          <w:b/>
          <w:sz w:val="21"/>
        </w:rPr>
        <w:t>评估</w:t>
      </w:r>
      <w:r>
        <w:rPr>
          <w:b/>
          <w:sz w:val="21"/>
        </w:rPr>
        <w:t>要求</w:t>
      </w:r>
    </w:p>
    <w:p w14:paraId="07FE44AD">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（1）提供满足节水评估技术咨询服务要求的报告；</w:t>
      </w:r>
    </w:p>
    <w:p w14:paraId="409D58BF">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（2）在报告编制过程中，进行技术跟踪，及时发现、协调和解决技术问题，确保节水评估技术咨询服务的内容满足主管部门评审的深度和要求，并通过专家评审。</w:t>
      </w:r>
    </w:p>
    <w:p w14:paraId="6F625E3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（3）承担由政府有关法律和规定中确定的应由咨询技术服务方承担的相应责任。</w:t>
      </w:r>
    </w:p>
    <w:p w14:paraId="2BC4709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（4）提供评审所需数量的各技术咨询服务报告；</w:t>
      </w:r>
    </w:p>
    <w:p w14:paraId="2A20353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（5）负责支付各技术咨询服务评审的专家评审费用。</w:t>
      </w:r>
    </w:p>
    <w:p w14:paraId="30A52E3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（6）对本工程节水评估技术咨询报告负责。</w:t>
      </w:r>
    </w:p>
    <w:p w14:paraId="3CDE49DD">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（7）编制成果需给采购人提供盖章电子版（PDF格式），及纸质版。</w:t>
      </w:r>
    </w:p>
    <w:p w14:paraId="28D63F4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lang w:val="en-US" w:eastAsia="zh-CN"/>
        </w:rPr>
      </w:pPr>
      <w:r>
        <w:rPr>
          <w:rFonts w:hint="eastAsia"/>
          <w:sz w:val="21"/>
          <w:lang w:val="en-US" w:eastAsia="zh-CN"/>
        </w:rPr>
        <w:t>（8）应在合同签署后15个日历天内完成报告编制、通过专家评审并取得专家意见等全部合同约定的技术咨询服务工作。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7"/>
      <w:suff w:val="space"/>
      <w:lvlText w:val="第%1章"/>
      <w:lvlJc w:val="left"/>
      <w:rPr>
        <w:rFonts w:hint="default" w:ascii="黑体" w:hAnsi="黑体" w:eastAsia="黑体" w:cs="黑体"/>
        <w:b/>
        <w:i w:val="0"/>
        <w:strike w:val="0"/>
        <w:color w:val="auto"/>
        <w:position w:val="0"/>
        <w:sz w:val="4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1"/>
    <w:rsid w:val="000D617A"/>
    <w:rsid w:val="0016661D"/>
    <w:rsid w:val="001D15ED"/>
    <w:rsid w:val="0035775A"/>
    <w:rsid w:val="003A419A"/>
    <w:rsid w:val="00457FE0"/>
    <w:rsid w:val="004821A6"/>
    <w:rsid w:val="004C0709"/>
    <w:rsid w:val="005871BF"/>
    <w:rsid w:val="006032D0"/>
    <w:rsid w:val="0060439E"/>
    <w:rsid w:val="00654627"/>
    <w:rsid w:val="006640F1"/>
    <w:rsid w:val="00676F92"/>
    <w:rsid w:val="007A6991"/>
    <w:rsid w:val="007E2F1B"/>
    <w:rsid w:val="009416F9"/>
    <w:rsid w:val="009816D4"/>
    <w:rsid w:val="00A70A5B"/>
    <w:rsid w:val="00B9546E"/>
    <w:rsid w:val="00BD7E67"/>
    <w:rsid w:val="00FB5632"/>
    <w:rsid w:val="07871953"/>
    <w:rsid w:val="2149619E"/>
    <w:rsid w:val="53F40E1B"/>
    <w:rsid w:val="5EB53520"/>
    <w:rsid w:val="7B724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0"/>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6">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 w:type="paragraph" w:customStyle="1" w:styleId="7">
    <w:name w:val="标题1"/>
    <w:basedOn w:val="6"/>
    <w:qFormat/>
    <w:uiPriority w:val="0"/>
    <w:pPr>
      <w:numPr>
        <w:ilvl w:val="0"/>
        <w:numId w:val="1"/>
      </w:numPr>
      <w:spacing w:before="340" w:after="340" w:line="360" w:lineRule="auto"/>
    </w:pPr>
    <w:rPr>
      <w:rFonts w:ascii="黑体" w:hAnsi="黑体" w:eastAsia="黑体" w:cs="黑体"/>
      <w:b/>
      <w:bCs/>
      <w:sz w:val="44"/>
      <w:szCs w:val="44"/>
    </w:rPr>
  </w:style>
  <w:style w:type="paragraph" w:styleId="8">
    <w:name w:val="List Paragraph"/>
    <w:basedOn w:val="1"/>
    <w:qFormat/>
    <w:uiPriority w:val="0"/>
    <w:pPr>
      <w:ind w:firstLine="420"/>
      <w:jc w:val="left"/>
    </w:pPr>
    <w:rPr>
      <w:sz w:val="21"/>
      <w:szCs w:val="21"/>
    </w:rPr>
  </w:style>
  <w:style w:type="character" w:customStyle="1" w:styleId="9">
    <w:name w:val="页眉 Char"/>
    <w:basedOn w:val="5"/>
    <w:link w:val="3"/>
    <w:qFormat/>
    <w:uiPriority w:val="99"/>
    <w:rPr>
      <w:rFonts w:ascii="宋体" w:hAnsi="宋体" w:eastAsia="宋体" w:cs="宋体"/>
      <w:kern w:val="0"/>
      <w:sz w:val="18"/>
      <w:szCs w:val="18"/>
      <w:lang w:val="zh-CN" w:bidi="zh-CN"/>
    </w:rPr>
  </w:style>
  <w:style w:type="character" w:customStyle="1" w:styleId="10">
    <w:name w:val="页脚 Char"/>
    <w:basedOn w:val="5"/>
    <w:link w:val="2"/>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1204</Words>
  <Characters>1316</Characters>
  <Lines>9</Lines>
  <Paragraphs>2</Paragraphs>
  <TotalTime>12</TotalTime>
  <ScaleCrop>false</ScaleCrop>
  <LinksUpToDate>false</LinksUpToDate>
  <CharactersWithSpaces>1333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2025-08-15T06:36:00Z</dcterms:created>
  <dc:creator>龚建伟</dc:creator>
  <cp:lastModifiedBy>周</cp:lastModifiedBy>
  <dcterms:modified xsi:type="dcterms:W3CDTF">2025-09-11T01:41:56Z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eyJoZGlkIjoiZDM1ZjhlYTY4Y2QwMmNkNWI4NTNmNGE3YWJiOTRiN2EiLCJ1c2VySWQiOiI1ODA5OTUxODYifQ==</vt:lpwstr>
  </property>
  <property fmtid="{D5CDD505-2E9C-101B-9397-08002B2CF9AE}" pid="3" name="KSOProductBuildVer">
    <vt:lpwstr>2052-12.1.0.22529</vt:lpwstr>
  </property>
  <property fmtid="{D5CDD505-2E9C-101B-9397-08002B2CF9AE}" pid="4" name="ICV">
    <vt:lpwstr>877D4CC18CF247E583112BF053E877BE_12</vt:lpwstr>
  </property>
</Properties>
</file>