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E660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上海外国语大学（松江校区）中阿改革发展研究中心项目</w:t>
      </w:r>
    </w:p>
    <w:p w14:paraId="48C7F6C6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标识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工程</w:t>
      </w:r>
      <w:r>
        <w:rPr>
          <w:rFonts w:hint="eastAsia" w:ascii="宋体" w:hAnsi="宋体" w:eastAsia="宋体"/>
          <w:b/>
          <w:bCs/>
          <w:sz w:val="32"/>
          <w:szCs w:val="32"/>
        </w:rPr>
        <w:t>采购需求</w:t>
      </w:r>
    </w:p>
    <w:p w14:paraId="3A52D42F">
      <w:pPr>
        <w:rPr>
          <w:rFonts w:ascii="宋体" w:hAnsi="宋体" w:eastAsia="宋体"/>
          <w:b/>
          <w:bCs/>
          <w:sz w:val="24"/>
          <w:szCs w:val="24"/>
        </w:rPr>
      </w:pPr>
    </w:p>
    <w:p w14:paraId="16A2E924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 w14:paraId="02D6CA4C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项目概况</w:t>
      </w:r>
    </w:p>
    <w:p w14:paraId="5B0D7CF8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项目名称：</w:t>
      </w:r>
    </w:p>
    <w:p w14:paraId="5AEF76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上海外国语大学（松江校区）中阿改革发展研究中心项目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工程</w:t>
      </w:r>
    </w:p>
    <w:p w14:paraId="081588C9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2、项目概况：</w:t>
      </w:r>
    </w:p>
    <w:p w14:paraId="3D2D38D7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（1）建设地点：上海市松江区文翔路1550号；</w:t>
      </w:r>
    </w:p>
    <w:p w14:paraId="0AEA52AC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（2）总建筑面积：31,200平方米；</w:t>
      </w:r>
    </w:p>
    <w:p w14:paraId="5A7256C4">
      <w:pPr>
        <w:spacing w:line="360" w:lineRule="auto"/>
        <w:rPr>
          <w:rFonts w:ascii="宋体" w:hAnsi="宋体" w:eastAsia="宋体" w:cs="宋体"/>
          <w:color w:val="FF0000"/>
          <w:kern w:val="0"/>
          <w:sz w:val="24"/>
          <w:szCs w:val="24"/>
          <w:highlight w:val="yellow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（3）总投资额：26,313万元，其中建安造价22,243万元。</w:t>
      </w:r>
    </w:p>
    <w:p w14:paraId="72391929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3、主要建设内容：新建 1 栋地下 1 层、地上 17 层的综合大楼，裙房 2-3 层，同步实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施室外总体工程，总建筑面积 31200 平方米，其中地上建筑面积 26108.94 平方米，地下建筑面积 5091.06 平方米。</w:t>
      </w:r>
    </w:p>
    <w:p w14:paraId="7A68EE26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、项目最高限价：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人民币贰拾柒万肆仟贰佰零叁元整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（小写：2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74203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元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）</w:t>
      </w:r>
    </w:p>
    <w:p w14:paraId="26852144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5、项目服务周期：自合同签订后直至完成合同所有内容的工作。</w:t>
      </w:r>
    </w:p>
    <w:p w14:paraId="7520CB47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服务内容</w:t>
      </w:r>
    </w:p>
    <w:p w14:paraId="3D364195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color w:val="auto"/>
          <w:sz w:val="24"/>
          <w:highlight w:val="none"/>
          <w:lang w:val="en-US" w:eastAsia="zh-CN"/>
        </w:rPr>
      </w:pPr>
      <w:bookmarkStart w:id="4" w:name="_GoBack"/>
      <w:bookmarkEnd w:id="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标识工程即交通标识与划线工程，具体包括交通划线方案优化、施工图设计、地库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及室外地</w:t>
      </w:r>
      <w:r>
        <w:rPr>
          <w:rFonts w:hint="default" w:ascii="Calibri" w:hAnsi="Calibri" w:eastAsia="宋体" w:cs="Times New Roman"/>
          <w:color w:val="auto"/>
          <w:sz w:val="24"/>
          <w:highlight w:val="none"/>
          <w:lang w:val="en-US" w:eastAsia="zh-CN"/>
        </w:rPr>
        <w:t>面交通标牌与交通标线的施工、验收及保修等</w:t>
      </w:r>
      <w:r>
        <w:rPr>
          <w:rFonts w:hint="eastAsia" w:ascii="Calibri" w:hAnsi="Calibri" w:eastAsia="宋体" w:cs="Times New Roman"/>
          <w:color w:val="auto"/>
          <w:sz w:val="24"/>
          <w:highlight w:val="none"/>
          <w:lang w:val="en-US" w:eastAsia="zh-CN"/>
        </w:rPr>
        <w:t>，其中保修期为24个月，从工程通过竣工验收之日起计算；</w:t>
      </w:r>
    </w:p>
    <w:p w14:paraId="2D6FFCB8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、编制上海市机动车停车场(库)交通设施布置图；</w:t>
      </w:r>
    </w:p>
    <w:p w14:paraId="52FAFA82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、取得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交通委及交警验收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通过的意见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 w:bidi="ar"/>
        </w:rPr>
        <w:t>；</w:t>
      </w:r>
    </w:p>
    <w:p w14:paraId="798B300B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、协助业主完成本工程的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 w:bidi="ar"/>
        </w:rPr>
        <w:t>交通划线工程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及其配套工作。</w:t>
      </w:r>
    </w:p>
    <w:p w14:paraId="5E8BC00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服务期限</w:t>
      </w:r>
    </w:p>
    <w:p w14:paraId="2600F9CD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自合同签订后直至完成合同所有内容的工作。</w:t>
      </w:r>
    </w:p>
    <w:p w14:paraId="165102C9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bookmarkStart w:id="0" w:name="_Toc325979547"/>
      <w:bookmarkStart w:id="1" w:name="_Toc531447536"/>
      <w:bookmarkStart w:id="2" w:name="_Toc334093665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相关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执行标准</w:t>
      </w:r>
    </w:p>
    <w:p w14:paraId="1A8DA3A5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《道路交通标志标线》(GB5768-2025)</w:t>
      </w:r>
    </w:p>
    <w:p w14:paraId="1D7BA1FC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《上海市停车库设置标准》(DGJ08-702014)</w:t>
      </w:r>
    </w:p>
    <w:p w14:paraId="5D456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《停车场(库)标志标线设置规范》 (DB31/T485-2025)</w:t>
      </w:r>
    </w:p>
    <w:p w14:paraId="60A7764D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《无障碍设施设计标准》(DGJ 08-103-2003)</w:t>
      </w:r>
    </w:p>
    <w:p w14:paraId="31CB6E50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《出租汽车站点设置标准》(DG/TJ 08-2108-2023)</w:t>
      </w:r>
    </w:p>
    <w:p w14:paraId="59B90D6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《电动汽车充电基础设施建设技术规范》(DG/TJ 08-2093-2019)</w:t>
      </w:r>
    </w:p>
    <w:p w14:paraId="7C8C4C1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《机械式停车库设计规程》(DGJ 08-60-2006)</w:t>
      </w:r>
    </w:p>
    <w:p w14:paraId="470661D5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《建筑工程交通设计及停车库(场)设置标准》(DG/TJ 08-7-2021)</w:t>
      </w:r>
    </w:p>
    <w:p w14:paraId="37D251F2">
      <w:pPr>
        <w:spacing w:line="360" w:lineRule="auto"/>
        <w:ind w:firstLine="480" w:firstLineChars="200"/>
        <w:rPr>
          <w:rFonts w:hint="eastAsia" w:ascii="宋体" w:hAnsi="宋体" w:eastAsia="微软雅黑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0A8CB97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bookmarkStart w:id="3" w:name="OLE_LINK11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 xml:space="preserve">供应商资格要求 </w:t>
      </w:r>
    </w:p>
    <w:p w14:paraId="5A5C49B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/>
          <w:lang w:eastAsia="zh-CN" w:bidi="ar"/>
        </w:rPr>
        <w:t>、必须为中华人民共和国(不包括香港、澳门及台湾地区)境内(简称“中国境内”)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具有独立法人资格的企业；</w:t>
      </w:r>
    </w:p>
    <w:p w14:paraId="5DE95D12">
      <w:pPr>
        <w:numPr>
          <w:ilvl w:val="0"/>
          <w:numId w:val="0"/>
        </w:numPr>
        <w:spacing w:line="360" w:lineRule="auto"/>
        <w:ind w:firstLine="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/>
          <w:lang w:eastAsia="zh-CN" w:bidi="ar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具备有效的工商注册营业执照，具备独立承担民事责任的能力；</w:t>
      </w:r>
    </w:p>
    <w:p w14:paraId="389D1E29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、本项目不接受联合体报名，禁止转包、分包；</w:t>
      </w:r>
    </w:p>
    <w:p w14:paraId="7E9AD55F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、单位负责人为同一人或存在直接控股、管理关系的不同供应商，不得参加同一合同项下的采购活动。</w:t>
      </w:r>
    </w:p>
    <w:p w14:paraId="53438961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</w:p>
    <w:bookmarkEnd w:id="3"/>
    <w:p w14:paraId="5CD3FD66">
      <w:pPr>
        <w:pStyle w:val="4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highlight w:val="none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highlight w:val="none"/>
          <w:lang w:val="en-US" w:bidi="ar"/>
        </w:rPr>
        <w:t>六、商务评审：（0分至30分）</w:t>
      </w:r>
    </w:p>
    <w:tbl>
      <w:tblPr>
        <w:tblStyle w:val="17"/>
        <w:tblW w:w="9383" w:type="dxa"/>
        <w:tblInd w:w="-389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917"/>
        <w:gridCol w:w="6200"/>
        <w:gridCol w:w="1266"/>
      </w:tblGrid>
      <w:tr w14:paraId="07ABD6F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1917" w:type="dxa"/>
            <w:vAlign w:val="center"/>
          </w:tcPr>
          <w:p w14:paraId="4BAD08E5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vAlign w:val="center"/>
          </w:tcPr>
          <w:p w14:paraId="483B2709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end"/>
            </w:r>
          </w:p>
        </w:tc>
        <w:tc>
          <w:tcPr>
            <w:tcW w:w="1266" w:type="dxa"/>
            <w:vAlign w:val="center"/>
          </w:tcPr>
          <w:p w14:paraId="2055690D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end"/>
            </w:r>
          </w:p>
        </w:tc>
      </w:tr>
      <w:tr w14:paraId="5ADACD5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c>
          <w:tcPr>
            <w:tcW w:w="1917" w:type="dxa"/>
            <w:vAlign w:val="center"/>
          </w:tcPr>
          <w:p w14:paraId="666280E5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t>商务标评审</w:t>
            </w:r>
          </w:p>
        </w:tc>
        <w:tc>
          <w:tcPr>
            <w:tcW w:w="6200" w:type="dxa"/>
            <w:vAlign w:val="center"/>
          </w:tcPr>
          <w:p w14:paraId="6BF7AFC0">
            <w:pPr>
              <w:rPr>
                <w:rFonts w:ascii="宋体" w:hAnsi="宋体" w:eastAsia="宋体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highlight w:val="none"/>
              </w:rPr>
              <w:t>满足比选文件要求且比选价格最低的比选报价为基准价，其价格分为满分30分。其他比选人的比选报价得分计算公式如下：比选报价得分=(评标基准价／比选报价)×价格权值×100</w:t>
            </w:r>
          </w:p>
        </w:tc>
        <w:tc>
          <w:tcPr>
            <w:tcW w:w="1266" w:type="dxa"/>
            <w:vAlign w:val="center"/>
          </w:tcPr>
          <w:p w14:paraId="181E3B6F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hint="eastAsia" w:ascii="宋体" w:hAnsi="宋体" w:eastAsia="宋体"/>
                <w:highlight w:val="none"/>
                <w:lang w:bidi="en-US"/>
              </w:rPr>
              <w:t>0-30</w:t>
            </w:r>
            <w:r>
              <w:rPr>
                <w:rFonts w:hint="eastAsia" w:ascii="宋体" w:hAnsi="宋体" w:eastAsia="宋体"/>
                <w:highlight w:val="none"/>
                <w:lang w:eastAsia="en-US" w:bidi="en-US"/>
              </w:rPr>
              <w:t>分</w:t>
            </w:r>
          </w:p>
        </w:tc>
      </w:tr>
    </w:tbl>
    <w:p w14:paraId="17046F67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ascii="宋体" w:hAnsi="宋体" w:eastAsia="宋体"/>
          <w:b/>
          <w:highlight w:val="none"/>
          <w:lang w:eastAsia="en-US" w:bidi="en-US"/>
        </w:rPr>
      </w:pPr>
    </w:p>
    <w:p w14:paraId="2032925E">
      <w:pPr>
        <w:pStyle w:val="4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highlight w:val="none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highlight w:val="none"/>
          <w:lang w:val="en-US" w:bidi="ar"/>
        </w:rPr>
        <w:t>七、技术标评审（0分至70分）</w:t>
      </w:r>
    </w:p>
    <w:tbl>
      <w:tblPr>
        <w:tblStyle w:val="17"/>
        <w:tblW w:w="9417" w:type="dxa"/>
        <w:tblInd w:w="-389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883"/>
        <w:gridCol w:w="6200"/>
        <w:gridCol w:w="1334"/>
      </w:tblGrid>
      <w:tr w14:paraId="34D561E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1883" w:type="dxa"/>
            <w:vAlign w:val="center"/>
          </w:tcPr>
          <w:p w14:paraId="4F25F2B8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vAlign w:val="center"/>
          </w:tcPr>
          <w:p w14:paraId="7DDD5D20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304A7E20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fldChar w:fldCharType="end"/>
            </w:r>
          </w:p>
        </w:tc>
      </w:tr>
      <w:tr w14:paraId="22C51C7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847" w:hRule="atLeast"/>
        </w:trPr>
        <w:tc>
          <w:tcPr>
            <w:tcW w:w="1883" w:type="dxa"/>
            <w:vMerge w:val="restart"/>
            <w:vAlign w:val="center"/>
          </w:tcPr>
          <w:p w14:paraId="79189674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ascii="宋体" w:hAnsi="宋体" w:eastAsia="宋体"/>
                <w:highlight w:val="none"/>
                <w:lang w:eastAsia="en-US" w:bidi="en-US"/>
              </w:rPr>
              <w:t>技术标评审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4F84ACC7">
            <w:pPr>
              <w:pStyle w:val="11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施工</w:t>
            </w:r>
            <w:r>
              <w:rPr>
                <w:rFonts w:hint="eastAsia"/>
                <w:highlight w:val="none"/>
              </w:rPr>
              <w:t>方案编制要求符合可靠、经济原则（方案完整规范、针对性强、满足项目</w:t>
            </w:r>
            <w:r>
              <w:rPr>
                <w:rFonts w:hint="eastAsia"/>
                <w:highlight w:val="none"/>
                <w:lang w:val="en-US" w:eastAsia="zh-CN"/>
              </w:rPr>
              <w:t>交通</w:t>
            </w:r>
            <w:r>
              <w:rPr>
                <w:rFonts w:hint="eastAsia"/>
                <w:highlight w:val="none"/>
              </w:rPr>
              <w:t>验收需求的得8</w:t>
            </w:r>
            <w:r>
              <w:rPr>
                <w:highlight w:val="none"/>
              </w:rPr>
              <w:t>~</w:t>
            </w:r>
            <w:r>
              <w:rPr>
                <w:rFonts w:hint="eastAsia"/>
                <w:highlight w:val="none"/>
              </w:rPr>
              <w:t>10分，基本完整、满足验收需求的得4</w:t>
            </w:r>
            <w:r>
              <w:rPr>
                <w:highlight w:val="none"/>
              </w:rPr>
              <w:t>~7</w:t>
            </w:r>
            <w:r>
              <w:rPr>
                <w:rFonts w:hint="eastAsia"/>
                <w:highlight w:val="none"/>
              </w:rPr>
              <w:t>分，未提供或内容较不完善的得0</w:t>
            </w:r>
            <w:r>
              <w:rPr>
                <w:highlight w:val="none"/>
              </w:rPr>
              <w:t>~3</w:t>
            </w:r>
            <w:r>
              <w:rPr>
                <w:rFonts w:hint="eastAsia"/>
                <w:highlight w:val="none"/>
              </w:rPr>
              <w:t>分。</w:t>
            </w:r>
          </w:p>
          <w:p w14:paraId="33799E1D">
            <w:pPr>
              <w:pStyle w:val="11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施工</w:t>
            </w:r>
            <w:r>
              <w:rPr>
                <w:rFonts w:hint="eastAsia"/>
                <w:highlight w:val="none"/>
              </w:rPr>
              <w:t>设备满足</w:t>
            </w:r>
            <w:r>
              <w:rPr>
                <w:rFonts w:hint="eastAsia"/>
                <w:highlight w:val="none"/>
                <w:lang w:val="en-US" w:eastAsia="zh-CN"/>
              </w:rPr>
              <w:t>施工</w:t>
            </w:r>
            <w:r>
              <w:rPr>
                <w:rFonts w:hint="eastAsia"/>
                <w:highlight w:val="none"/>
              </w:rPr>
              <w:t>需求的得</w:t>
            </w:r>
            <w:r>
              <w:rPr>
                <w:highlight w:val="none"/>
              </w:rPr>
              <w:t>4~</w:t>
            </w:r>
            <w:r>
              <w:rPr>
                <w:rFonts w:hint="eastAsia"/>
                <w:highlight w:val="none"/>
              </w:rPr>
              <w:t>5分，未提供或内容较不完善的得0</w:t>
            </w:r>
            <w:r>
              <w:rPr>
                <w:highlight w:val="none"/>
              </w:rPr>
              <w:t>~3</w:t>
            </w:r>
            <w:r>
              <w:rPr>
                <w:rFonts w:hint="eastAsia"/>
                <w:highlight w:val="none"/>
              </w:rPr>
              <w:t>分。）</w:t>
            </w:r>
          </w:p>
          <w:p w14:paraId="0B105340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334" w:type="dxa"/>
            <w:vAlign w:val="center"/>
          </w:tcPr>
          <w:p w14:paraId="1B3A330C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hint="eastAsia" w:ascii="宋体" w:hAnsi="宋体" w:eastAsia="宋体"/>
                <w:highlight w:val="none"/>
                <w:lang w:bidi="en-US"/>
              </w:rPr>
              <w:t>0-15</w:t>
            </w:r>
            <w:r>
              <w:rPr>
                <w:rFonts w:hint="eastAsia" w:ascii="宋体" w:hAnsi="宋体" w:eastAsia="宋体"/>
                <w:highlight w:val="none"/>
                <w:lang w:eastAsia="en-US" w:bidi="en-US"/>
              </w:rPr>
              <w:t>分</w:t>
            </w:r>
          </w:p>
        </w:tc>
      </w:tr>
      <w:tr w14:paraId="1A47DE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589" w:hRule="atLeast"/>
        </w:trPr>
        <w:tc>
          <w:tcPr>
            <w:tcW w:w="1883" w:type="dxa"/>
            <w:vMerge w:val="continue"/>
            <w:vAlign w:val="center"/>
          </w:tcPr>
          <w:p w14:paraId="7EE2CC09">
            <w:pPr>
              <w:pStyle w:val="42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0213F708">
            <w:pPr>
              <w:pStyle w:val="11"/>
              <w:rPr>
                <w:rFonts w:ascii="宋体" w:hAnsi="宋体" w:cs="宋体"/>
                <w:highlight w:val="none"/>
              </w:rPr>
            </w:pPr>
            <w:r>
              <w:rPr>
                <w:rFonts w:hint="eastAsia"/>
                <w:highlight w:val="none"/>
              </w:rPr>
              <w:t>称职的项目负责人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</w:rPr>
              <w:t>工作经验满足</w:t>
            </w:r>
            <w:r>
              <w:rPr>
                <w:rFonts w:hint="eastAsia"/>
                <w:highlight w:val="none"/>
                <w:lang w:val="en-US" w:eastAsia="zh-CN"/>
              </w:rPr>
              <w:t>10年以上</w:t>
            </w:r>
            <w:r>
              <w:rPr>
                <w:rFonts w:hint="eastAsia"/>
                <w:highlight w:val="none"/>
              </w:rPr>
              <w:t>的得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分，工作经验满足</w:t>
            </w:r>
            <w:r>
              <w:rPr>
                <w:rFonts w:hint="eastAsia"/>
                <w:highlight w:val="none"/>
                <w:lang w:val="en-US" w:eastAsia="zh-CN"/>
              </w:rPr>
              <w:t>5~9年的得2~4分，</w:t>
            </w:r>
            <w:r>
              <w:rPr>
                <w:rFonts w:hint="eastAsia"/>
                <w:highlight w:val="none"/>
              </w:rPr>
              <w:t>不满足</w:t>
            </w:r>
            <w:r>
              <w:rPr>
                <w:rFonts w:hint="eastAsia"/>
                <w:highlight w:val="none"/>
                <w:lang w:val="en-US" w:eastAsia="zh-CN"/>
              </w:rPr>
              <w:t>5年的</w:t>
            </w:r>
            <w:r>
              <w:rPr>
                <w:rFonts w:hint="eastAsia"/>
                <w:highlight w:val="none"/>
              </w:rPr>
              <w:t>得0</w:t>
            </w:r>
            <w:r>
              <w:rPr>
                <w:rFonts w:hint="eastAsia"/>
                <w:highlight w:val="none"/>
                <w:lang w:val="en-US" w:eastAsia="zh-CN"/>
              </w:rPr>
              <w:t>~1</w:t>
            </w:r>
            <w:r>
              <w:rPr>
                <w:rFonts w:hint="eastAsia"/>
                <w:highlight w:val="none"/>
              </w:rPr>
              <w:t>分)。强有力的项目管理班子（配备</w:t>
            </w:r>
            <w:r>
              <w:rPr>
                <w:rFonts w:hint="eastAsia"/>
                <w:highlight w:val="none"/>
                <w:lang w:val="en-US" w:eastAsia="zh-CN"/>
              </w:rPr>
              <w:t>完整的</w:t>
            </w:r>
            <w:r>
              <w:rPr>
                <w:rFonts w:hint="eastAsia"/>
                <w:highlight w:val="none"/>
              </w:rPr>
              <w:t>专职</w:t>
            </w:r>
            <w:r>
              <w:rPr>
                <w:rFonts w:hint="eastAsia"/>
                <w:highlight w:val="none"/>
                <w:lang w:val="en-US" w:eastAsia="zh-CN"/>
              </w:rPr>
              <w:t>施工</w:t>
            </w:r>
            <w:r>
              <w:rPr>
                <w:rFonts w:hint="eastAsia"/>
                <w:highlight w:val="none"/>
              </w:rPr>
              <w:t>、质量、</w:t>
            </w:r>
            <w:r>
              <w:rPr>
                <w:rFonts w:hint="eastAsia"/>
                <w:highlight w:val="none"/>
                <w:lang w:val="en-US" w:eastAsia="zh-CN"/>
              </w:rPr>
              <w:t>资料、标准、劳务、机械、造价、材料、</w:t>
            </w:r>
            <w:r>
              <w:rPr>
                <w:rFonts w:hint="eastAsia"/>
                <w:highlight w:val="none"/>
              </w:rPr>
              <w:t>管理班子</w:t>
            </w:r>
            <w:r>
              <w:rPr>
                <w:rFonts w:hint="eastAsia"/>
                <w:highlight w:val="none"/>
                <w:lang w:val="en-US" w:eastAsia="zh-CN"/>
              </w:rPr>
              <w:t>得8~10</w:t>
            </w:r>
            <w:r>
              <w:rPr>
                <w:rFonts w:hint="eastAsia"/>
                <w:highlight w:val="none"/>
              </w:rPr>
              <w:t>分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配置不全的得0</w:t>
            </w:r>
            <w:r>
              <w:rPr>
                <w:highlight w:val="none"/>
              </w:rPr>
              <w:t>~</w:t>
            </w:r>
            <w:r>
              <w:rPr>
                <w:rFonts w:hint="eastAsia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highlight w:val="none"/>
              </w:rPr>
              <w:t>分)。</w:t>
            </w:r>
          </w:p>
        </w:tc>
        <w:tc>
          <w:tcPr>
            <w:tcW w:w="1334" w:type="dxa"/>
            <w:vAlign w:val="center"/>
          </w:tcPr>
          <w:p w14:paraId="54E61887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hint="eastAsia" w:ascii="宋体" w:hAnsi="宋体" w:eastAsia="宋体"/>
                <w:highlight w:val="none"/>
                <w:lang w:bidi="en-US"/>
              </w:rPr>
              <w:t>0-15</w:t>
            </w:r>
            <w:r>
              <w:rPr>
                <w:rFonts w:hint="eastAsia" w:ascii="宋体" w:hAnsi="宋体" w:eastAsia="宋体"/>
                <w:highlight w:val="none"/>
                <w:lang w:eastAsia="en-US" w:bidi="en-US"/>
              </w:rPr>
              <w:t>分</w:t>
            </w:r>
          </w:p>
        </w:tc>
      </w:tr>
      <w:tr w14:paraId="65CA926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W w:w="1883" w:type="dxa"/>
            <w:vMerge w:val="continue"/>
            <w:vAlign w:val="center"/>
          </w:tcPr>
          <w:p w14:paraId="523ACCDD">
            <w:pPr>
              <w:pStyle w:val="42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62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D22030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服务质量保障措施及服务承诺（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质量保证措施科学、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服务承诺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可行、全面的得8</w:t>
            </w:r>
            <w:r>
              <w:rPr>
                <w:rFonts w:hint="eastAsia" w:hAnsi="宋体" w:cs="宋体"/>
                <w:highlight w:val="none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10分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，基本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可行得4</w:t>
            </w:r>
            <w:r>
              <w:rPr>
                <w:rFonts w:hint="eastAsia" w:hAnsi="宋体" w:cs="宋体"/>
                <w:highlight w:val="none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7分</w:t>
            </w:r>
            <w:r>
              <w:rPr>
                <w:rFonts w:hint="eastAsia" w:hAnsi="宋体" w:cs="宋体"/>
                <w:highlight w:val="none"/>
              </w:rPr>
              <w:t>，</w:t>
            </w:r>
            <w:r>
              <w:rPr>
                <w:rFonts w:hint="eastAsia"/>
                <w:highlight w:val="none"/>
              </w:rPr>
              <w:t>未提供或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质量保证措施较差的得0</w:t>
            </w:r>
            <w:r>
              <w:rPr>
                <w:rFonts w:hint="eastAsia" w:hAnsi="宋体" w:cs="宋体"/>
                <w:highlight w:val="none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3分</w:t>
            </w:r>
            <w:r>
              <w:rPr>
                <w:rFonts w:hint="eastAsia"/>
                <w:highlight w:val="none"/>
              </w:rPr>
              <w:t>。）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7C29AC79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hint="eastAsia" w:ascii="宋体" w:hAnsi="宋体" w:eastAsia="宋体"/>
                <w:highlight w:val="none"/>
                <w:lang w:bidi="en-US"/>
              </w:rPr>
              <w:t>0-10</w:t>
            </w:r>
            <w:r>
              <w:rPr>
                <w:rFonts w:hint="eastAsia" w:ascii="宋体" w:hAnsi="宋体" w:eastAsia="宋体"/>
                <w:highlight w:val="none"/>
                <w:lang w:eastAsia="en-US" w:bidi="en-US"/>
              </w:rPr>
              <w:t>分</w:t>
            </w:r>
          </w:p>
        </w:tc>
      </w:tr>
      <w:tr w14:paraId="67F678A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275F1106">
            <w:pPr>
              <w:pStyle w:val="42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051CCEFA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本项目重难点分析及合理化建议。（</w:t>
            </w:r>
            <w:r>
              <w:rPr>
                <w:rFonts w:hint="eastAsia" w:hAnsi="宋体" w:cs="宋体"/>
                <w:highlight w:val="none"/>
              </w:rPr>
              <w:t>对本项目的理解及重点难点分析全面、可行、有针对性的得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8</w:t>
            </w:r>
            <w:r>
              <w:rPr>
                <w:rFonts w:hint="eastAsia" w:hAnsi="宋体" w:cs="宋体"/>
                <w:highlight w:val="none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10分</w:t>
            </w:r>
            <w:r>
              <w:rPr>
                <w:rFonts w:hint="eastAsia" w:hAnsi="宋体" w:cs="宋体"/>
                <w:highlight w:val="none"/>
              </w:rPr>
              <w:t>，一般的得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</w:t>
            </w:r>
            <w:r>
              <w:rPr>
                <w:rFonts w:hint="eastAsia" w:hAnsi="宋体" w:cs="宋体"/>
                <w:highlight w:val="none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7</w:t>
            </w:r>
            <w:r>
              <w:rPr>
                <w:rFonts w:hint="eastAsia" w:hAnsi="宋体" w:cs="宋体"/>
                <w:highlight w:val="none"/>
              </w:rPr>
              <w:t>分，</w:t>
            </w:r>
            <w:r>
              <w:rPr>
                <w:rFonts w:hint="eastAsia"/>
                <w:highlight w:val="none"/>
              </w:rPr>
              <w:t>未提供或内容不完善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得0</w:t>
            </w:r>
            <w:r>
              <w:rPr>
                <w:rFonts w:hint="eastAsia" w:hAnsi="宋体" w:cs="宋体"/>
                <w:highlight w:val="none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3分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 w:ascii="宋体" w:hAnsi="宋体" w:cs="宋体"/>
                <w:highlight w:val="none"/>
              </w:rPr>
              <w:t>）</w:t>
            </w:r>
          </w:p>
        </w:tc>
        <w:tc>
          <w:tcPr>
            <w:tcW w:w="1334" w:type="dxa"/>
            <w:vAlign w:val="center"/>
          </w:tcPr>
          <w:p w14:paraId="3D3CFE59">
            <w:pPr>
              <w:jc w:val="center"/>
              <w:rPr>
                <w:rFonts w:ascii="宋体" w:hAnsi="宋体" w:eastAsia="宋体"/>
                <w:highlight w:val="none"/>
                <w:lang w:eastAsia="en-US" w:bidi="en-US"/>
              </w:rPr>
            </w:pPr>
            <w:r>
              <w:rPr>
                <w:rFonts w:hint="eastAsia" w:ascii="宋体" w:hAnsi="宋体" w:eastAsia="宋体"/>
                <w:highlight w:val="none"/>
                <w:lang w:bidi="en-US"/>
              </w:rPr>
              <w:t>0-10</w:t>
            </w:r>
            <w:r>
              <w:rPr>
                <w:rFonts w:ascii="宋体" w:hAnsi="宋体" w:eastAsia="宋体"/>
                <w:highlight w:val="none"/>
                <w:lang w:eastAsia="en-US" w:bidi="en-US"/>
              </w:rPr>
              <w:t>分</w:t>
            </w:r>
          </w:p>
        </w:tc>
      </w:tr>
      <w:tr w14:paraId="4A877FF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7C639717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1CB4118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近3年无重大质量事故、行政处罚或行业通报批评，得</w:t>
            </w: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分，未满足不得分。</w:t>
            </w:r>
          </w:p>
        </w:tc>
        <w:tc>
          <w:tcPr>
            <w:tcW w:w="1334" w:type="dxa"/>
            <w:vAlign w:val="center"/>
          </w:tcPr>
          <w:p w14:paraId="5985701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  <w:tr w14:paraId="6EF2D4A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77D8F166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3E88E2D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类似项目业绩（根据近三年类似项目业绩进行评审，是否属于有效的类似项目业绩由评审委员会认定，每提供1个得2分，最多得10分。提供业绩证明（以合同复印件为准，时间以合同签订日期为准））</w:t>
            </w:r>
          </w:p>
        </w:tc>
        <w:tc>
          <w:tcPr>
            <w:tcW w:w="1334" w:type="dxa"/>
            <w:vAlign w:val="center"/>
          </w:tcPr>
          <w:p w14:paraId="1AFACA1E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</w:tbl>
    <w:p w14:paraId="6804E896">
      <w:pPr>
        <w:widowControl/>
        <w:spacing w:after="160" w:line="278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4230F"/>
    <w:multiLevelType w:val="singleLevel"/>
    <w:tmpl w:val="FE4423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F228BD"/>
    <w:multiLevelType w:val="singleLevel"/>
    <w:tmpl w:val="28F22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1BD420"/>
    <w:multiLevelType w:val="singleLevel"/>
    <w:tmpl w:val="7E1BD4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A"/>
    <w:rsid w:val="00006A65"/>
    <w:rsid w:val="0008127B"/>
    <w:rsid w:val="000E3FC3"/>
    <w:rsid w:val="001D365D"/>
    <w:rsid w:val="0020643C"/>
    <w:rsid w:val="00217B13"/>
    <w:rsid w:val="002C004C"/>
    <w:rsid w:val="002F2C03"/>
    <w:rsid w:val="0031511A"/>
    <w:rsid w:val="00325C4D"/>
    <w:rsid w:val="00417C14"/>
    <w:rsid w:val="004F6D97"/>
    <w:rsid w:val="005156B9"/>
    <w:rsid w:val="005A7AF3"/>
    <w:rsid w:val="005C21EB"/>
    <w:rsid w:val="005E0145"/>
    <w:rsid w:val="006006A3"/>
    <w:rsid w:val="006741C4"/>
    <w:rsid w:val="007C32CE"/>
    <w:rsid w:val="007C462A"/>
    <w:rsid w:val="007D4594"/>
    <w:rsid w:val="007F42B7"/>
    <w:rsid w:val="00866335"/>
    <w:rsid w:val="00885D23"/>
    <w:rsid w:val="008D1E44"/>
    <w:rsid w:val="00966AF0"/>
    <w:rsid w:val="00AE6484"/>
    <w:rsid w:val="00B31AC3"/>
    <w:rsid w:val="00B34A1A"/>
    <w:rsid w:val="00BB3085"/>
    <w:rsid w:val="00CF55A5"/>
    <w:rsid w:val="00D03026"/>
    <w:rsid w:val="00DC0105"/>
    <w:rsid w:val="00E23A67"/>
    <w:rsid w:val="00E820FA"/>
    <w:rsid w:val="00EA2847"/>
    <w:rsid w:val="00F471AB"/>
    <w:rsid w:val="00FA3E06"/>
    <w:rsid w:val="017D31AE"/>
    <w:rsid w:val="019D115B"/>
    <w:rsid w:val="02083BFD"/>
    <w:rsid w:val="02B524D4"/>
    <w:rsid w:val="0364024A"/>
    <w:rsid w:val="03B8477B"/>
    <w:rsid w:val="04375660"/>
    <w:rsid w:val="04477AA3"/>
    <w:rsid w:val="04D9684C"/>
    <w:rsid w:val="04E13A54"/>
    <w:rsid w:val="052B1173"/>
    <w:rsid w:val="054D10EA"/>
    <w:rsid w:val="06756451"/>
    <w:rsid w:val="06B35531"/>
    <w:rsid w:val="07747F4A"/>
    <w:rsid w:val="07D56FF5"/>
    <w:rsid w:val="08512865"/>
    <w:rsid w:val="08E7715F"/>
    <w:rsid w:val="0A0C3321"/>
    <w:rsid w:val="0A590531"/>
    <w:rsid w:val="0AC105A6"/>
    <w:rsid w:val="0AE4604C"/>
    <w:rsid w:val="0C1E558E"/>
    <w:rsid w:val="0C8C5276"/>
    <w:rsid w:val="0D083A90"/>
    <w:rsid w:val="0D0F1361"/>
    <w:rsid w:val="0D6C40D7"/>
    <w:rsid w:val="0D907DC5"/>
    <w:rsid w:val="0F661726"/>
    <w:rsid w:val="101A606C"/>
    <w:rsid w:val="1054330C"/>
    <w:rsid w:val="113E5D8A"/>
    <w:rsid w:val="11665A0D"/>
    <w:rsid w:val="117A5014"/>
    <w:rsid w:val="12A367ED"/>
    <w:rsid w:val="13286CF2"/>
    <w:rsid w:val="133A2B6A"/>
    <w:rsid w:val="13B034AA"/>
    <w:rsid w:val="14AD3953"/>
    <w:rsid w:val="14C95AF3"/>
    <w:rsid w:val="150D20CB"/>
    <w:rsid w:val="151F51CF"/>
    <w:rsid w:val="158C3568"/>
    <w:rsid w:val="15B14D7D"/>
    <w:rsid w:val="16681FE7"/>
    <w:rsid w:val="17DF02C7"/>
    <w:rsid w:val="17FA6EAF"/>
    <w:rsid w:val="18C76DEE"/>
    <w:rsid w:val="192D0BBE"/>
    <w:rsid w:val="1941466A"/>
    <w:rsid w:val="194F6D87"/>
    <w:rsid w:val="195C1485"/>
    <w:rsid w:val="19713243"/>
    <w:rsid w:val="19B206A5"/>
    <w:rsid w:val="19CF7EC7"/>
    <w:rsid w:val="1AC31DE3"/>
    <w:rsid w:val="1ACC4407"/>
    <w:rsid w:val="1B210BF7"/>
    <w:rsid w:val="1C4C30B4"/>
    <w:rsid w:val="1D5232E9"/>
    <w:rsid w:val="1D5664DC"/>
    <w:rsid w:val="1D601DE5"/>
    <w:rsid w:val="1E330879"/>
    <w:rsid w:val="1E44245A"/>
    <w:rsid w:val="1E4A0464"/>
    <w:rsid w:val="1E51534F"/>
    <w:rsid w:val="1ECA499A"/>
    <w:rsid w:val="1EFF124F"/>
    <w:rsid w:val="1F10520A"/>
    <w:rsid w:val="1FE2748A"/>
    <w:rsid w:val="20142AD8"/>
    <w:rsid w:val="202E59A2"/>
    <w:rsid w:val="20B16579"/>
    <w:rsid w:val="20E920EC"/>
    <w:rsid w:val="21BA18CA"/>
    <w:rsid w:val="21C94863"/>
    <w:rsid w:val="22B45EAC"/>
    <w:rsid w:val="22F86ED5"/>
    <w:rsid w:val="22FE5379"/>
    <w:rsid w:val="233A7948"/>
    <w:rsid w:val="233C481F"/>
    <w:rsid w:val="24523BCF"/>
    <w:rsid w:val="24AB32DF"/>
    <w:rsid w:val="257C3F4A"/>
    <w:rsid w:val="25F0544D"/>
    <w:rsid w:val="26956E9E"/>
    <w:rsid w:val="27206206"/>
    <w:rsid w:val="27AB7A4E"/>
    <w:rsid w:val="27C5362E"/>
    <w:rsid w:val="286E6AFD"/>
    <w:rsid w:val="289B2968"/>
    <w:rsid w:val="293D7D2C"/>
    <w:rsid w:val="29DD3F3B"/>
    <w:rsid w:val="29E17ECF"/>
    <w:rsid w:val="2B944ACD"/>
    <w:rsid w:val="2BFB4B4C"/>
    <w:rsid w:val="2C7A6134"/>
    <w:rsid w:val="2CB55B0B"/>
    <w:rsid w:val="2CC118F2"/>
    <w:rsid w:val="2D574004"/>
    <w:rsid w:val="2E5A0250"/>
    <w:rsid w:val="2E862DF3"/>
    <w:rsid w:val="2ED3590C"/>
    <w:rsid w:val="2F2148C9"/>
    <w:rsid w:val="2F2F5B35"/>
    <w:rsid w:val="2F671CE5"/>
    <w:rsid w:val="2FB31BE0"/>
    <w:rsid w:val="2FC71915"/>
    <w:rsid w:val="30360848"/>
    <w:rsid w:val="30BD0622"/>
    <w:rsid w:val="332C27C3"/>
    <w:rsid w:val="34296EAD"/>
    <w:rsid w:val="35AD335B"/>
    <w:rsid w:val="35BC17F0"/>
    <w:rsid w:val="36721EAF"/>
    <w:rsid w:val="37313B18"/>
    <w:rsid w:val="373832E3"/>
    <w:rsid w:val="37A61E10"/>
    <w:rsid w:val="386C352A"/>
    <w:rsid w:val="38925F00"/>
    <w:rsid w:val="39447B32"/>
    <w:rsid w:val="399860D0"/>
    <w:rsid w:val="3A2B6F44"/>
    <w:rsid w:val="3A8A3C6B"/>
    <w:rsid w:val="3A96552E"/>
    <w:rsid w:val="3B0079E6"/>
    <w:rsid w:val="3C862210"/>
    <w:rsid w:val="3C8841DA"/>
    <w:rsid w:val="3D2354C9"/>
    <w:rsid w:val="3DC31695"/>
    <w:rsid w:val="3FAE3F57"/>
    <w:rsid w:val="401364B0"/>
    <w:rsid w:val="40CE4185"/>
    <w:rsid w:val="416C5E78"/>
    <w:rsid w:val="419862BE"/>
    <w:rsid w:val="427C658F"/>
    <w:rsid w:val="44E22676"/>
    <w:rsid w:val="44E73A68"/>
    <w:rsid w:val="46BC1650"/>
    <w:rsid w:val="46C025FF"/>
    <w:rsid w:val="46ED239E"/>
    <w:rsid w:val="47E87649"/>
    <w:rsid w:val="481608EC"/>
    <w:rsid w:val="487B4BF3"/>
    <w:rsid w:val="4A023CFE"/>
    <w:rsid w:val="4A6A3171"/>
    <w:rsid w:val="4AC079A4"/>
    <w:rsid w:val="4B9366F7"/>
    <w:rsid w:val="4BE97219"/>
    <w:rsid w:val="4C714C8A"/>
    <w:rsid w:val="4CA6280C"/>
    <w:rsid w:val="4CF3569F"/>
    <w:rsid w:val="4D6D7FF3"/>
    <w:rsid w:val="4DD747A8"/>
    <w:rsid w:val="4DDD2D74"/>
    <w:rsid w:val="4E0F02B7"/>
    <w:rsid w:val="4EFD0A57"/>
    <w:rsid w:val="50B05655"/>
    <w:rsid w:val="50E7551B"/>
    <w:rsid w:val="531C6FD2"/>
    <w:rsid w:val="532F6D06"/>
    <w:rsid w:val="5349426B"/>
    <w:rsid w:val="54815C87"/>
    <w:rsid w:val="54CB0CB0"/>
    <w:rsid w:val="54ED50CA"/>
    <w:rsid w:val="550D21EE"/>
    <w:rsid w:val="55935C72"/>
    <w:rsid w:val="55B1434A"/>
    <w:rsid w:val="55FA184D"/>
    <w:rsid w:val="56527629"/>
    <w:rsid w:val="568D0913"/>
    <w:rsid w:val="56A30136"/>
    <w:rsid w:val="581035A9"/>
    <w:rsid w:val="5888429A"/>
    <w:rsid w:val="5A1C405F"/>
    <w:rsid w:val="5AC8016B"/>
    <w:rsid w:val="5AE80636"/>
    <w:rsid w:val="5B21787C"/>
    <w:rsid w:val="5B465534"/>
    <w:rsid w:val="5B8A08D0"/>
    <w:rsid w:val="5B8E5344"/>
    <w:rsid w:val="5E0019CA"/>
    <w:rsid w:val="5E391380"/>
    <w:rsid w:val="5E5E4943"/>
    <w:rsid w:val="5E906BCB"/>
    <w:rsid w:val="5EA92062"/>
    <w:rsid w:val="6040273A"/>
    <w:rsid w:val="61A539C2"/>
    <w:rsid w:val="62F933A7"/>
    <w:rsid w:val="6353510B"/>
    <w:rsid w:val="63F95413"/>
    <w:rsid w:val="6410048D"/>
    <w:rsid w:val="64836EB1"/>
    <w:rsid w:val="65006FEF"/>
    <w:rsid w:val="65CD16E2"/>
    <w:rsid w:val="65CF1471"/>
    <w:rsid w:val="66030B7B"/>
    <w:rsid w:val="6633750E"/>
    <w:rsid w:val="667473F9"/>
    <w:rsid w:val="66770C98"/>
    <w:rsid w:val="67825B46"/>
    <w:rsid w:val="683D77C1"/>
    <w:rsid w:val="684B418A"/>
    <w:rsid w:val="68550B54"/>
    <w:rsid w:val="685A568A"/>
    <w:rsid w:val="68875B37"/>
    <w:rsid w:val="68E82F6A"/>
    <w:rsid w:val="69601EB7"/>
    <w:rsid w:val="69B44347"/>
    <w:rsid w:val="6ACD532A"/>
    <w:rsid w:val="6B41549F"/>
    <w:rsid w:val="6BEE5558"/>
    <w:rsid w:val="6C944351"/>
    <w:rsid w:val="6D836174"/>
    <w:rsid w:val="6E6E4063"/>
    <w:rsid w:val="6EC5538D"/>
    <w:rsid w:val="6EDC3D8E"/>
    <w:rsid w:val="6F4B6983"/>
    <w:rsid w:val="6F935B10"/>
    <w:rsid w:val="6FF9096F"/>
    <w:rsid w:val="70117A67"/>
    <w:rsid w:val="70BF74C3"/>
    <w:rsid w:val="71507C77"/>
    <w:rsid w:val="71CF6981"/>
    <w:rsid w:val="71E371E1"/>
    <w:rsid w:val="746F7F51"/>
    <w:rsid w:val="74841A7E"/>
    <w:rsid w:val="74DD616A"/>
    <w:rsid w:val="76585078"/>
    <w:rsid w:val="774E15A1"/>
    <w:rsid w:val="77785EA7"/>
    <w:rsid w:val="77F35CA4"/>
    <w:rsid w:val="78AE679B"/>
    <w:rsid w:val="791800B8"/>
    <w:rsid w:val="7940316B"/>
    <w:rsid w:val="7A146AD1"/>
    <w:rsid w:val="7A1C7734"/>
    <w:rsid w:val="7B7A0BB6"/>
    <w:rsid w:val="7B825CBD"/>
    <w:rsid w:val="7BCE4A5E"/>
    <w:rsid w:val="7C9F44B8"/>
    <w:rsid w:val="7D913F95"/>
    <w:rsid w:val="7DA16AD8"/>
    <w:rsid w:val="7ED4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jc w:val="left"/>
    </w:pPr>
  </w:style>
  <w:style w:type="paragraph" w:styleId="12">
    <w:name w:val="Body Text"/>
    <w:basedOn w:val="1"/>
    <w:link w:val="39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8"/>
      <w:szCs w:val="28"/>
      <w14:ligatures w14:val="standardContextual"/>
    </w:rPr>
  </w:style>
  <w:style w:type="paragraph" w:styleId="13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link w:val="40"/>
    <w:qFormat/>
    <w:uiPriority w:val="0"/>
    <w:pPr>
      <w:ind w:left="720"/>
      <w:contextualSpacing/>
    </w:pPr>
  </w:style>
  <w:style w:type="character" w:customStyle="1" w:styleId="35">
    <w:name w:val="Intense Emphasis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 字符"/>
    <w:basedOn w:val="19"/>
    <w:link w:val="12"/>
    <w:qFormat/>
    <w:uiPriority w:val="1"/>
    <w:rPr>
      <w:rFonts w:ascii="宋体" w:hAnsi="Times New Roman" w:eastAsia="宋体" w:cs="宋体"/>
      <w:kern w:val="0"/>
      <w:sz w:val="28"/>
      <w:szCs w:val="28"/>
    </w:rPr>
  </w:style>
  <w:style w:type="character" w:customStyle="1" w:styleId="40">
    <w:name w:val="列表段落 字符"/>
    <w:link w:val="34"/>
    <w:qFormat/>
    <w:uiPriority w:val="0"/>
    <w:rPr>
      <w:sz w:val="21"/>
      <w:szCs w:val="22"/>
      <w14:ligatures w14:val="none"/>
    </w:rPr>
  </w:style>
  <w:style w:type="paragraph" w:customStyle="1" w:styleId="41">
    <w:name w:val="正文文字1"/>
    <w:basedOn w:val="12"/>
    <w:qFormat/>
    <w:uiPriority w:val="0"/>
    <w:pPr>
      <w:autoSpaceDE/>
      <w:autoSpaceDN/>
      <w:spacing w:line="360" w:lineRule="atLeast"/>
      <w:ind w:left="72" w:leftChars="30" w:right="72" w:rightChars="30"/>
      <w:jc w:val="both"/>
      <w:textAlignment w:val="baseline"/>
    </w:pPr>
    <w:rPr>
      <w:rFonts w:ascii="Times New Roman" w:cs="Times New Roman"/>
      <w:sz w:val="21"/>
      <w:szCs w:val="20"/>
      <w14:ligatures w14:val="none"/>
    </w:rPr>
  </w:style>
  <w:style w:type="paragraph" w:customStyle="1" w:styleId="42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43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字符"/>
    <w:basedOn w:val="44"/>
    <w:link w:val="1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6">
    <w:name w:val="批注框文本 字符"/>
    <w:basedOn w:val="19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CD00-965C-4B1A-86A2-0A726D26F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1368</Words>
  <Characters>1593</Characters>
  <Lines>15</Lines>
  <Paragraphs>4</Paragraphs>
  <TotalTime>2</TotalTime>
  <ScaleCrop>false</ScaleCrop>
  <LinksUpToDate>false</LinksUpToDate>
  <CharactersWithSpaces>1614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2026-02-03T05:48:00Z</dcterms:created>
  <dc:creator>zyq</dc:creator>
  <cp:lastModifiedBy>齊齐</cp:lastModifiedBy>
  <dcterms:modified xsi:type="dcterms:W3CDTF">2026-05-19T00:36:03Z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eyJoZGlkIjoiZWQ3YzIyODJiYzRiZWVkOWNjYjEwMTE4NjBjMjMzODQiLCJ1c2VySWQiOiIxMDQ4NjU4MTQxIn0=</vt:lpwstr>
  </property>
  <property fmtid="{D5CDD505-2E9C-101B-9397-08002B2CF9AE}" pid="3" name="KSOProductBuildVer">
    <vt:lpwstr>2052-12.1.0.26375</vt:lpwstr>
  </property>
  <property fmtid="{D5CDD505-2E9C-101B-9397-08002B2CF9AE}" pid="4" name="ICV">
    <vt:lpwstr>2C9E06E30ED241A09821A3A6C6E2E8CB_13</vt:lpwstr>
  </property>
</Properties>
</file>