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11E5AB">
      <w:pPr>
        <w:spacing w:line="360" w:lineRule="auto"/>
        <w:jc w:val="left"/>
        <w:rPr>
          <w:rFonts w:ascii="宋体" w:hAnsi="宋体"/>
          <w:b/>
          <w:szCs w:val="21"/>
        </w:rPr>
      </w:pPr>
      <w:r>
        <w:rPr>
          <w:rFonts w:hint="eastAsia" w:ascii="宋体" w:hAnsi="宋体"/>
          <w:b/>
          <w:szCs w:val="21"/>
        </w:rPr>
        <w:t>附件：</w:t>
      </w:r>
    </w:p>
    <w:p w14:paraId="452E88D6">
      <w:pPr>
        <w:spacing w:line="360" w:lineRule="auto"/>
        <w:jc w:val="center"/>
        <w:rPr>
          <w:rFonts w:ascii="宋体" w:hAnsi="宋体"/>
          <w:b/>
          <w:sz w:val="28"/>
          <w:szCs w:val="28"/>
        </w:rPr>
      </w:pPr>
      <w:r>
        <w:rPr>
          <w:rFonts w:hint="eastAsia" w:ascii="黑体" w:hAnsi="黑体" w:eastAsia="黑体"/>
          <w:sz w:val="28"/>
          <w:szCs w:val="28"/>
        </w:rPr>
        <w:t>上海外国语大学</w:t>
      </w:r>
      <w:r>
        <w:rPr>
          <w:rFonts w:hint="eastAsia" w:ascii="黑体" w:hAnsi="黑体" w:eastAsia="黑体"/>
          <w:sz w:val="28"/>
          <w:szCs w:val="28"/>
          <w:lang w:val="en-US" w:eastAsia="zh-CN"/>
        </w:rPr>
        <w:t>巡课数字人系统服务器</w:t>
      </w:r>
      <w:r>
        <w:rPr>
          <w:rFonts w:hint="eastAsia" w:ascii="黑体" w:hAnsi="黑体" w:eastAsia="黑体"/>
          <w:sz w:val="28"/>
          <w:szCs w:val="28"/>
        </w:rPr>
        <w:t>采购项目</w:t>
      </w:r>
      <w:r>
        <w:rPr>
          <w:rFonts w:hint="eastAsia" w:ascii="宋体" w:hAnsi="宋体"/>
          <w:b/>
          <w:sz w:val="28"/>
          <w:szCs w:val="28"/>
        </w:rPr>
        <w:t>需求文件</w:t>
      </w:r>
    </w:p>
    <w:p w14:paraId="25444A24">
      <w:pPr>
        <w:spacing w:line="360" w:lineRule="auto"/>
        <w:rPr>
          <w:rFonts w:ascii="宋体" w:hAnsi="宋体"/>
          <w:b/>
          <w:szCs w:val="21"/>
        </w:rPr>
      </w:pPr>
      <w:r>
        <w:rPr>
          <w:rFonts w:hint="eastAsia" w:ascii="宋体" w:hAnsi="宋体"/>
          <w:b/>
          <w:szCs w:val="21"/>
        </w:rPr>
        <w:t>一、采购部门基本情况</w:t>
      </w:r>
    </w:p>
    <w:tbl>
      <w:tblPr>
        <w:tblStyle w:val="14"/>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89"/>
        <w:gridCol w:w="3150"/>
        <w:gridCol w:w="1650"/>
        <w:gridCol w:w="2804"/>
      </w:tblGrid>
      <w:tr w14:paraId="0CEFD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889" w:type="dxa"/>
            <w:vAlign w:val="center"/>
          </w:tcPr>
          <w:p w14:paraId="47DD1D18">
            <w:pPr>
              <w:spacing w:line="360" w:lineRule="auto"/>
              <w:jc w:val="center"/>
              <w:rPr>
                <w:rFonts w:ascii="宋体" w:hAnsi="宋体"/>
                <w:b/>
                <w:szCs w:val="21"/>
              </w:rPr>
            </w:pPr>
            <w:r>
              <w:rPr>
                <w:rFonts w:hint="eastAsia" w:ascii="宋体" w:hAnsi="宋体"/>
                <w:b/>
                <w:szCs w:val="21"/>
              </w:rPr>
              <w:t>采购部门名称</w:t>
            </w:r>
          </w:p>
        </w:tc>
        <w:tc>
          <w:tcPr>
            <w:tcW w:w="3150" w:type="dxa"/>
            <w:vAlign w:val="center"/>
          </w:tcPr>
          <w:p w14:paraId="08B20FA4">
            <w:pPr>
              <w:spacing w:line="360" w:lineRule="auto"/>
              <w:jc w:val="center"/>
              <w:rPr>
                <w:rFonts w:ascii="宋体" w:hAnsi="宋体"/>
                <w:szCs w:val="21"/>
              </w:rPr>
            </w:pPr>
            <w:r>
              <w:rPr>
                <w:rFonts w:hint="eastAsia" w:ascii="宋体" w:hAnsi="宋体"/>
                <w:szCs w:val="21"/>
              </w:rPr>
              <w:t>教务处</w:t>
            </w:r>
          </w:p>
        </w:tc>
        <w:tc>
          <w:tcPr>
            <w:tcW w:w="1650" w:type="dxa"/>
            <w:vAlign w:val="center"/>
          </w:tcPr>
          <w:p w14:paraId="320ECBF7">
            <w:pPr>
              <w:spacing w:line="360" w:lineRule="auto"/>
              <w:jc w:val="center"/>
              <w:rPr>
                <w:rFonts w:ascii="宋体" w:hAnsi="宋体"/>
                <w:b/>
                <w:szCs w:val="21"/>
              </w:rPr>
            </w:pPr>
            <w:r>
              <w:rPr>
                <w:rFonts w:hint="eastAsia" w:ascii="宋体" w:hAnsi="宋体"/>
                <w:b/>
                <w:szCs w:val="21"/>
              </w:rPr>
              <w:t>项目负责人</w:t>
            </w:r>
          </w:p>
        </w:tc>
        <w:tc>
          <w:tcPr>
            <w:tcW w:w="2804" w:type="dxa"/>
            <w:vAlign w:val="center"/>
          </w:tcPr>
          <w:p w14:paraId="7CB37DD8">
            <w:pPr>
              <w:spacing w:line="360" w:lineRule="auto"/>
              <w:jc w:val="center"/>
              <w:rPr>
                <w:rFonts w:hint="eastAsia" w:ascii="宋体" w:hAnsi="宋体" w:eastAsia="宋体"/>
                <w:szCs w:val="21"/>
                <w:lang w:eastAsia="zh-CN"/>
              </w:rPr>
            </w:pPr>
            <w:r>
              <w:rPr>
                <w:rFonts w:hint="eastAsia" w:ascii="宋体" w:hAnsi="宋体"/>
                <w:szCs w:val="21"/>
                <w:lang w:val="en-US" w:eastAsia="zh-CN"/>
              </w:rPr>
              <w:t>王仁睿</w:t>
            </w:r>
          </w:p>
        </w:tc>
      </w:tr>
      <w:tr w14:paraId="59323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889" w:type="dxa"/>
            <w:vAlign w:val="center"/>
          </w:tcPr>
          <w:p w14:paraId="679AAE55">
            <w:pPr>
              <w:spacing w:line="360" w:lineRule="auto"/>
              <w:jc w:val="center"/>
              <w:rPr>
                <w:rFonts w:ascii="宋体" w:hAnsi="宋体"/>
                <w:b/>
                <w:szCs w:val="21"/>
              </w:rPr>
            </w:pPr>
            <w:r>
              <w:rPr>
                <w:rFonts w:hint="eastAsia" w:ascii="宋体" w:hAnsi="宋体"/>
                <w:b/>
                <w:szCs w:val="21"/>
              </w:rPr>
              <w:t>办公地点</w:t>
            </w:r>
          </w:p>
        </w:tc>
        <w:tc>
          <w:tcPr>
            <w:tcW w:w="3150" w:type="dxa"/>
            <w:vAlign w:val="center"/>
          </w:tcPr>
          <w:p w14:paraId="341EE752">
            <w:pPr>
              <w:spacing w:line="360" w:lineRule="auto"/>
              <w:jc w:val="center"/>
              <w:rPr>
                <w:rFonts w:hint="default" w:ascii="宋体" w:hAnsi="宋体" w:eastAsia="宋体"/>
                <w:b/>
                <w:szCs w:val="21"/>
                <w:lang w:val="en-US" w:eastAsia="zh-CN"/>
              </w:rPr>
            </w:pPr>
            <w:r>
              <w:rPr>
                <w:rFonts w:hint="eastAsia" w:ascii="宋体" w:hAnsi="宋体"/>
                <w:szCs w:val="21"/>
              </w:rPr>
              <w:t>上外松江校区</w:t>
            </w:r>
            <w:r>
              <w:rPr>
                <w:rFonts w:hint="eastAsia" w:ascii="宋体" w:hAnsi="宋体"/>
                <w:szCs w:val="21"/>
                <w:lang w:val="en-US" w:eastAsia="zh-CN"/>
              </w:rPr>
              <w:t>图文楼J210</w:t>
            </w:r>
          </w:p>
        </w:tc>
        <w:tc>
          <w:tcPr>
            <w:tcW w:w="1650" w:type="dxa"/>
            <w:vAlign w:val="center"/>
          </w:tcPr>
          <w:p w14:paraId="209CF29B">
            <w:pPr>
              <w:spacing w:line="360" w:lineRule="auto"/>
              <w:jc w:val="center"/>
              <w:rPr>
                <w:rFonts w:ascii="宋体" w:hAnsi="宋体"/>
                <w:b/>
                <w:szCs w:val="21"/>
              </w:rPr>
            </w:pPr>
            <w:r>
              <w:rPr>
                <w:rFonts w:hint="eastAsia" w:ascii="宋体" w:hAnsi="宋体"/>
                <w:b/>
                <w:szCs w:val="21"/>
              </w:rPr>
              <w:t>联系方式</w:t>
            </w:r>
          </w:p>
        </w:tc>
        <w:tc>
          <w:tcPr>
            <w:tcW w:w="2804" w:type="dxa"/>
            <w:vAlign w:val="center"/>
          </w:tcPr>
          <w:p w14:paraId="4013F887">
            <w:pPr>
              <w:spacing w:line="360" w:lineRule="auto"/>
              <w:jc w:val="center"/>
              <w:rPr>
                <w:rFonts w:hint="default" w:ascii="宋体" w:hAnsi="宋体" w:eastAsia="宋体"/>
                <w:szCs w:val="21"/>
                <w:lang w:val="en-US" w:eastAsia="zh-CN"/>
              </w:rPr>
            </w:pPr>
            <w:r>
              <w:rPr>
                <w:rFonts w:hint="eastAsia" w:ascii="宋体" w:hAnsi="宋体"/>
                <w:szCs w:val="21"/>
              </w:rPr>
              <w:t>021-67701896</w:t>
            </w:r>
          </w:p>
        </w:tc>
      </w:tr>
    </w:tbl>
    <w:p w14:paraId="75E220E8">
      <w:pPr>
        <w:spacing w:line="360" w:lineRule="auto"/>
        <w:rPr>
          <w:rFonts w:ascii="宋体" w:hAnsi="宋体"/>
          <w:b/>
          <w:szCs w:val="21"/>
        </w:rPr>
      </w:pPr>
      <w:r>
        <w:rPr>
          <w:rFonts w:hint="eastAsia" w:ascii="宋体" w:hAnsi="宋体"/>
          <w:b/>
          <w:szCs w:val="21"/>
        </w:rPr>
        <w:t>二、采购项目基本情况</w:t>
      </w:r>
    </w:p>
    <w:tbl>
      <w:tblPr>
        <w:tblStyle w:val="14"/>
        <w:tblW w:w="9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3335"/>
        <w:gridCol w:w="2242"/>
        <w:gridCol w:w="2348"/>
      </w:tblGrid>
      <w:tr w14:paraId="0C636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555" w:type="dxa"/>
            <w:vAlign w:val="center"/>
          </w:tcPr>
          <w:p w14:paraId="7F156322">
            <w:pPr>
              <w:spacing w:line="360" w:lineRule="auto"/>
              <w:jc w:val="center"/>
              <w:rPr>
                <w:rFonts w:ascii="宋体" w:hAnsi="宋体"/>
                <w:b/>
                <w:szCs w:val="21"/>
              </w:rPr>
            </w:pPr>
            <w:r>
              <w:rPr>
                <w:rFonts w:hint="eastAsia" w:ascii="宋体" w:hAnsi="宋体"/>
                <w:b/>
                <w:szCs w:val="21"/>
              </w:rPr>
              <w:t>项目名称</w:t>
            </w:r>
          </w:p>
        </w:tc>
        <w:tc>
          <w:tcPr>
            <w:tcW w:w="7925" w:type="dxa"/>
            <w:gridSpan w:val="3"/>
            <w:vAlign w:val="center"/>
          </w:tcPr>
          <w:p w14:paraId="7288FD1E">
            <w:pPr>
              <w:spacing w:line="360" w:lineRule="auto"/>
              <w:jc w:val="center"/>
              <w:rPr>
                <w:rFonts w:ascii="宋体" w:hAnsi="宋体"/>
                <w:b/>
                <w:szCs w:val="21"/>
              </w:rPr>
            </w:pPr>
            <w:r>
              <w:rPr>
                <w:rFonts w:hint="eastAsia" w:ascii="宋体" w:hAnsi="宋体" w:cs="Arial"/>
                <w:color w:val="333333"/>
                <w:szCs w:val="21"/>
                <w:shd w:val="clear" w:color="auto" w:fill="FFFFFF"/>
              </w:rPr>
              <w:t>上海外国语大学</w:t>
            </w:r>
            <w:r>
              <w:rPr>
                <w:rFonts w:hint="eastAsia" w:ascii="宋体" w:hAnsi="宋体" w:cs="Arial"/>
                <w:color w:val="333333"/>
                <w:szCs w:val="21"/>
                <w:shd w:val="clear" w:color="auto" w:fill="FFFFFF"/>
                <w:lang w:val="en-US" w:eastAsia="zh-CN"/>
              </w:rPr>
              <w:t>巡课数字人系统服务器</w:t>
            </w:r>
            <w:r>
              <w:rPr>
                <w:rFonts w:hint="eastAsia" w:ascii="宋体" w:hAnsi="宋体" w:cs="Arial"/>
                <w:color w:val="333333"/>
                <w:szCs w:val="21"/>
                <w:shd w:val="clear" w:color="auto" w:fill="FFFFFF"/>
              </w:rPr>
              <w:t>采购项目</w:t>
            </w:r>
          </w:p>
        </w:tc>
      </w:tr>
      <w:tr w14:paraId="7DB56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1555" w:type="dxa"/>
            <w:vAlign w:val="center"/>
          </w:tcPr>
          <w:p w14:paraId="5D38B835">
            <w:pPr>
              <w:spacing w:line="360" w:lineRule="auto"/>
              <w:jc w:val="center"/>
              <w:rPr>
                <w:rFonts w:ascii="宋体" w:hAnsi="宋体"/>
                <w:b/>
                <w:szCs w:val="21"/>
              </w:rPr>
            </w:pPr>
            <w:r>
              <w:rPr>
                <w:rFonts w:hint="eastAsia" w:ascii="宋体" w:hAnsi="宋体"/>
                <w:b/>
                <w:szCs w:val="21"/>
              </w:rPr>
              <w:t>项目实施时间</w:t>
            </w:r>
          </w:p>
        </w:tc>
        <w:tc>
          <w:tcPr>
            <w:tcW w:w="3335" w:type="dxa"/>
            <w:vAlign w:val="center"/>
          </w:tcPr>
          <w:p w14:paraId="63FFB141">
            <w:pPr>
              <w:jc w:val="center"/>
              <w:rPr>
                <w:rFonts w:ascii="宋体" w:hAnsi="宋体"/>
                <w:szCs w:val="21"/>
              </w:rPr>
            </w:pPr>
            <w:r>
              <w:rPr>
                <w:rFonts w:hint="eastAsia" w:ascii="宋体" w:hAnsi="宋体"/>
                <w:szCs w:val="21"/>
              </w:rPr>
              <w:t>双方签约生效后15日内完成交付</w:t>
            </w:r>
          </w:p>
        </w:tc>
        <w:tc>
          <w:tcPr>
            <w:tcW w:w="2242" w:type="dxa"/>
            <w:vAlign w:val="center"/>
          </w:tcPr>
          <w:p w14:paraId="633FE8F2">
            <w:pPr>
              <w:spacing w:line="360" w:lineRule="auto"/>
              <w:jc w:val="center"/>
              <w:rPr>
                <w:rFonts w:ascii="宋体" w:hAnsi="宋体"/>
                <w:b/>
                <w:szCs w:val="21"/>
              </w:rPr>
            </w:pPr>
            <w:r>
              <w:rPr>
                <w:rFonts w:hint="eastAsia" w:ascii="宋体" w:hAnsi="宋体"/>
                <w:b/>
                <w:szCs w:val="21"/>
              </w:rPr>
              <w:t>采购方式</w:t>
            </w:r>
          </w:p>
        </w:tc>
        <w:tc>
          <w:tcPr>
            <w:tcW w:w="2348" w:type="dxa"/>
            <w:vAlign w:val="center"/>
          </w:tcPr>
          <w:p w14:paraId="22DDDA81">
            <w:pPr>
              <w:spacing w:line="360" w:lineRule="auto"/>
              <w:jc w:val="center"/>
              <w:rPr>
                <w:rFonts w:ascii="宋体" w:hAnsi="宋体"/>
                <w:b/>
                <w:szCs w:val="21"/>
              </w:rPr>
            </w:pPr>
            <w:r>
              <w:rPr>
                <w:rFonts w:hint="eastAsia" w:ascii="宋体" w:hAnsi="宋体" w:cs="Arial"/>
                <w:color w:val="333333"/>
                <w:szCs w:val="21"/>
                <w:shd w:val="clear" w:color="auto" w:fill="FFFFFF"/>
                <w:lang w:val="en-US" w:eastAsia="zh-CN"/>
              </w:rPr>
              <w:t>分散</w:t>
            </w:r>
            <w:r>
              <w:rPr>
                <w:rFonts w:ascii="宋体" w:hAnsi="宋体" w:cs="Arial"/>
                <w:color w:val="333333"/>
                <w:szCs w:val="21"/>
                <w:shd w:val="clear" w:color="auto" w:fill="FFFFFF"/>
              </w:rPr>
              <w:t>采购</w:t>
            </w:r>
          </w:p>
        </w:tc>
      </w:tr>
      <w:tr w14:paraId="48022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555" w:type="dxa"/>
            <w:vAlign w:val="center"/>
          </w:tcPr>
          <w:p w14:paraId="32661E08">
            <w:pPr>
              <w:spacing w:line="360" w:lineRule="auto"/>
              <w:jc w:val="center"/>
              <w:rPr>
                <w:rFonts w:ascii="宋体" w:hAnsi="宋体"/>
                <w:b/>
                <w:szCs w:val="21"/>
              </w:rPr>
            </w:pPr>
            <w:r>
              <w:rPr>
                <w:rFonts w:hint="eastAsia" w:ascii="宋体" w:hAnsi="宋体"/>
                <w:b/>
                <w:szCs w:val="21"/>
              </w:rPr>
              <w:t>项目需求</w:t>
            </w:r>
          </w:p>
        </w:tc>
        <w:tc>
          <w:tcPr>
            <w:tcW w:w="7925" w:type="dxa"/>
            <w:gridSpan w:val="3"/>
            <w:vAlign w:val="center"/>
          </w:tcPr>
          <w:p w14:paraId="129AF78B">
            <w:pPr>
              <w:pStyle w:val="18"/>
              <w:numPr>
                <w:ilvl w:val="0"/>
                <w:numId w:val="1"/>
              </w:numPr>
              <w:spacing w:line="360" w:lineRule="auto"/>
              <w:ind w:firstLineChars="0"/>
              <w:rPr>
                <w:rFonts w:ascii="宋体" w:hAnsi="宋体" w:cs="宋体"/>
                <w:b/>
                <w:bCs/>
                <w:szCs w:val="21"/>
              </w:rPr>
            </w:pPr>
            <w:r>
              <w:rPr>
                <w:rFonts w:hint="eastAsia" w:ascii="宋体" w:hAnsi="宋体" w:cs="宋体"/>
                <w:b/>
                <w:bCs/>
                <w:szCs w:val="21"/>
              </w:rPr>
              <w:t>采购预算</w:t>
            </w:r>
          </w:p>
          <w:p w14:paraId="5E1752C8">
            <w:pPr>
              <w:spacing w:line="360" w:lineRule="auto"/>
              <w:ind w:firstLine="420" w:firstLineChars="200"/>
              <w:rPr>
                <w:rFonts w:ascii="宋体" w:hAnsi="宋体" w:cs="宋体"/>
                <w:szCs w:val="21"/>
              </w:rPr>
            </w:pPr>
            <w:r>
              <w:rPr>
                <w:rFonts w:hint="eastAsia" w:ascii="宋体" w:hAnsi="宋体" w:cs="宋体"/>
                <w:szCs w:val="21"/>
              </w:rPr>
              <w:t>总价不超过</w:t>
            </w:r>
            <w:r>
              <w:rPr>
                <w:rFonts w:hint="eastAsia" w:ascii="宋体" w:hAnsi="宋体"/>
                <w:b/>
                <w:bCs/>
                <w:szCs w:val="21"/>
              </w:rPr>
              <w:t>2</w:t>
            </w:r>
            <w:r>
              <w:rPr>
                <w:rFonts w:ascii="宋体" w:hAnsi="宋体"/>
                <w:b/>
                <w:bCs/>
                <w:szCs w:val="21"/>
              </w:rPr>
              <w:t>8.</w:t>
            </w:r>
            <w:r>
              <w:rPr>
                <w:rFonts w:hint="eastAsia" w:ascii="宋体" w:hAnsi="宋体"/>
                <w:b/>
                <w:bCs/>
                <w:szCs w:val="21"/>
                <w:lang w:val="en-US" w:eastAsia="zh-CN"/>
              </w:rPr>
              <w:t>7</w:t>
            </w:r>
            <w:r>
              <w:rPr>
                <w:rFonts w:hint="eastAsia" w:ascii="宋体" w:hAnsi="宋体"/>
                <w:b/>
                <w:bCs/>
                <w:szCs w:val="21"/>
              </w:rPr>
              <w:t>万</w:t>
            </w:r>
            <w:r>
              <w:rPr>
                <w:rFonts w:hint="eastAsia" w:ascii="宋体" w:hAnsi="宋体" w:cs="宋体"/>
                <w:szCs w:val="21"/>
              </w:rPr>
              <w:t>元（人民币）。项目期限：于双方签约生效后</w:t>
            </w:r>
            <w:r>
              <w:rPr>
                <w:rFonts w:ascii="宋体" w:hAnsi="宋体" w:cs="宋体"/>
                <w:szCs w:val="21"/>
              </w:rPr>
              <w:t>15</w:t>
            </w:r>
            <w:r>
              <w:rPr>
                <w:rFonts w:hint="eastAsia" w:ascii="宋体" w:hAnsi="宋体" w:cs="宋体"/>
                <w:szCs w:val="21"/>
              </w:rPr>
              <w:t>日内完成交付。</w:t>
            </w:r>
          </w:p>
          <w:p w14:paraId="3FCFA0D7">
            <w:pPr>
              <w:pStyle w:val="18"/>
              <w:numPr>
                <w:ilvl w:val="0"/>
                <w:numId w:val="1"/>
              </w:numPr>
              <w:spacing w:line="360" w:lineRule="auto"/>
              <w:ind w:firstLineChars="0"/>
              <w:rPr>
                <w:rFonts w:ascii="宋体" w:hAnsi="宋体" w:cs="宋体"/>
                <w:b/>
                <w:bCs/>
                <w:szCs w:val="21"/>
              </w:rPr>
            </w:pPr>
            <w:r>
              <w:rPr>
                <w:rFonts w:hint="eastAsia" w:ascii="宋体" w:hAnsi="宋体" w:cs="宋体"/>
                <w:b/>
                <w:bCs/>
                <w:szCs w:val="21"/>
              </w:rPr>
              <w:t>项目要求</w:t>
            </w:r>
          </w:p>
          <w:p w14:paraId="3E199FAE">
            <w:pPr>
              <w:pStyle w:val="18"/>
              <w:numPr>
                <w:ilvl w:val="0"/>
                <w:numId w:val="0"/>
              </w:numPr>
              <w:spacing w:line="360" w:lineRule="auto"/>
              <w:ind w:firstLine="420" w:firstLineChars="200"/>
              <w:rPr>
                <w:rFonts w:hint="eastAsia" w:ascii="宋体" w:hAnsi="宋体" w:cs="宋体"/>
                <w:b w:val="0"/>
                <w:bCs w:val="0"/>
                <w:szCs w:val="21"/>
                <w:lang w:eastAsia="zh-CN"/>
              </w:rPr>
            </w:pPr>
            <w:r>
              <w:rPr>
                <w:rFonts w:hint="eastAsia" w:ascii="宋体" w:hAnsi="宋体" w:cs="宋体"/>
                <w:b w:val="0"/>
                <w:bCs w:val="0"/>
                <w:szCs w:val="21"/>
                <w:lang w:val="en-US" w:eastAsia="zh-CN"/>
              </w:rPr>
              <w:t>（1）本次采购服务器用于部署巡课数字人AI推理服务、课堂视频流接入、业务数据库及后台管理服务，采用双机冗余部署架构，要求设备性能稳定、兼容性强、支持远程带外运维、满足AI算力、高并发视频传输、长期稳定运行需求，所有配件为原厂原配全新硬件，无翻新、无拆机、无工包。</w:t>
            </w:r>
          </w:p>
          <w:p w14:paraId="45AA3A20">
            <w:pPr>
              <w:pStyle w:val="18"/>
              <w:numPr>
                <w:ilvl w:val="0"/>
                <w:numId w:val="0"/>
              </w:numPr>
              <w:spacing w:line="360" w:lineRule="auto"/>
              <w:ind w:firstLine="420" w:firstLineChars="200"/>
              <w:rPr>
                <w:rFonts w:hint="eastAsia" w:ascii="宋体" w:hAnsi="宋体" w:cs="宋体"/>
                <w:b w:val="0"/>
                <w:bCs w:val="0"/>
                <w:szCs w:val="21"/>
                <w:lang w:eastAsia="zh-CN"/>
              </w:rPr>
            </w:pPr>
            <w:r>
              <w:rPr>
                <w:rFonts w:hint="eastAsia" w:ascii="宋体" w:hAnsi="宋体" w:cs="宋体"/>
                <w:b w:val="0"/>
                <w:bCs w:val="0"/>
                <w:szCs w:val="21"/>
                <w:lang w:val="en-US" w:eastAsia="zh-CN"/>
              </w:rPr>
              <w:t>需提供2台标准2U机架式服务器，适配学校标准机房机柜；配置原厂通用机架安装导轨，支持快速上架、固定、拆卸维护。配置要求：CPU：Intel Xeon可扩展系列处理器，不低于2颗CPU且主频≥2.1GHz，单颗核心数≥32C核；内存：配置≥128GB DDR5内存；硬盘：配置≥2块960GB SSD，RAID卡：支持RAID 0/1/5/6/50/60；网络接口：配置≥2个千兆网络电口，配置≥2个10Gb网口(含多模光模块)；电源：配置1+1冗余电源，电源模块额定功率≥1600W，配置≥2个电源。</w:t>
            </w:r>
          </w:p>
          <w:p w14:paraId="6BB99629">
            <w:pPr>
              <w:pStyle w:val="18"/>
              <w:numPr>
                <w:ilvl w:val="0"/>
                <w:numId w:val="0"/>
              </w:numPr>
              <w:spacing w:line="360" w:lineRule="auto"/>
              <w:ind w:firstLine="420" w:firstLineChars="200"/>
              <w:rPr>
                <w:rFonts w:hint="eastAsia" w:ascii="宋体" w:hAnsi="宋体" w:cs="宋体"/>
                <w:b w:val="0"/>
                <w:bCs w:val="0"/>
                <w:szCs w:val="21"/>
              </w:rPr>
            </w:pPr>
            <w:r>
              <w:rPr>
                <w:rFonts w:hint="eastAsia" w:ascii="宋体" w:hAnsi="宋体" w:cs="宋体"/>
                <w:b w:val="0"/>
                <w:bCs w:val="0"/>
                <w:szCs w:val="21"/>
                <w:lang w:eastAsia="zh-CN"/>
              </w:rPr>
              <w:t>（</w:t>
            </w:r>
            <w:r>
              <w:rPr>
                <w:rFonts w:hint="eastAsia" w:ascii="宋体" w:hAnsi="宋体" w:cs="宋体"/>
                <w:b w:val="0"/>
                <w:bCs w:val="0"/>
                <w:szCs w:val="21"/>
                <w:lang w:val="en-US" w:eastAsia="zh-CN"/>
              </w:rPr>
              <w:t>2</w:t>
            </w:r>
            <w:r>
              <w:rPr>
                <w:rFonts w:hint="eastAsia" w:ascii="宋体" w:hAnsi="宋体" w:cs="宋体"/>
                <w:b w:val="0"/>
                <w:bCs w:val="0"/>
                <w:szCs w:val="21"/>
                <w:lang w:eastAsia="zh-CN"/>
              </w:rPr>
              <w:t>）</w:t>
            </w:r>
            <w:r>
              <w:rPr>
                <w:rFonts w:hint="eastAsia" w:ascii="宋体" w:hAnsi="宋体" w:cs="宋体"/>
                <w:b w:val="0"/>
                <w:bCs w:val="0"/>
                <w:szCs w:val="21"/>
              </w:rPr>
              <w:t>供应商应按服务要求指派专业技术人员完成各项服务，保证正常运行，并提供验收文档，验收文档包括合同、使用说明书等材料。标准如下：</w:t>
            </w:r>
          </w:p>
          <w:p w14:paraId="7775ADD7">
            <w:pPr>
              <w:pStyle w:val="18"/>
              <w:numPr>
                <w:ilvl w:val="0"/>
                <w:numId w:val="0"/>
              </w:numPr>
              <w:spacing w:line="360" w:lineRule="auto"/>
              <w:ind w:firstLine="630" w:firstLineChars="300"/>
              <w:rPr>
                <w:rFonts w:hint="eastAsia" w:ascii="宋体" w:hAnsi="宋体" w:cs="宋体"/>
                <w:b w:val="0"/>
                <w:bCs w:val="0"/>
                <w:szCs w:val="21"/>
              </w:rPr>
            </w:pPr>
            <w:r>
              <w:rPr>
                <w:rFonts w:hint="eastAsia" w:ascii="宋体" w:hAnsi="宋体" w:cs="宋体"/>
                <w:b w:val="0"/>
                <w:bCs w:val="0"/>
                <w:szCs w:val="21"/>
              </w:rPr>
              <w:t>1、供应商应指派具有丰富项目技术经验的专人担任项目实施负责人对项目实施负责，保障项目的实施进度和质量。</w:t>
            </w:r>
          </w:p>
          <w:p w14:paraId="72D9821C">
            <w:pPr>
              <w:pStyle w:val="18"/>
              <w:numPr>
                <w:ilvl w:val="0"/>
                <w:numId w:val="0"/>
              </w:numPr>
              <w:spacing w:line="360" w:lineRule="auto"/>
              <w:ind w:firstLine="630" w:firstLineChars="300"/>
              <w:rPr>
                <w:rFonts w:hint="eastAsia" w:ascii="宋体" w:hAnsi="宋体" w:cs="宋体"/>
                <w:b w:val="0"/>
                <w:bCs w:val="0"/>
                <w:szCs w:val="21"/>
              </w:rPr>
            </w:pPr>
            <w:r>
              <w:rPr>
                <w:rFonts w:hint="eastAsia" w:ascii="宋体" w:hAnsi="宋体" w:cs="宋体"/>
                <w:b w:val="0"/>
                <w:bCs w:val="0"/>
                <w:szCs w:val="21"/>
              </w:rPr>
              <w:t>2、供应商提供安装、调试、免费培训等服务，确保使用正常，各产品功能指标达到标准要求，能完全满足采购方的需求。</w:t>
            </w:r>
          </w:p>
          <w:p w14:paraId="6C0002F7">
            <w:pPr>
              <w:pStyle w:val="18"/>
              <w:numPr>
                <w:ilvl w:val="0"/>
                <w:numId w:val="0"/>
              </w:numPr>
              <w:spacing w:line="360" w:lineRule="auto"/>
              <w:ind w:firstLine="630" w:firstLineChars="300"/>
              <w:rPr>
                <w:rFonts w:hint="eastAsia" w:ascii="宋体" w:hAnsi="宋体" w:cs="宋体"/>
                <w:b w:val="0"/>
                <w:bCs w:val="0"/>
                <w:szCs w:val="21"/>
              </w:rPr>
            </w:pPr>
            <w:r>
              <w:rPr>
                <w:rFonts w:hint="eastAsia" w:ascii="宋体" w:hAnsi="宋体" w:cs="宋体"/>
                <w:b w:val="0"/>
                <w:bCs w:val="0"/>
                <w:szCs w:val="21"/>
              </w:rPr>
              <w:t>3、验收文档包括：</w:t>
            </w:r>
          </w:p>
          <w:p w14:paraId="577EBD55">
            <w:pPr>
              <w:pStyle w:val="18"/>
              <w:numPr>
                <w:ilvl w:val="0"/>
                <w:numId w:val="0"/>
              </w:numPr>
              <w:spacing w:line="360" w:lineRule="auto"/>
              <w:ind w:left="562" w:leftChars="0"/>
              <w:rPr>
                <w:rFonts w:hint="eastAsia" w:ascii="宋体" w:hAnsi="宋体" w:cs="宋体"/>
                <w:b w:val="0"/>
                <w:bCs w:val="0"/>
                <w:szCs w:val="21"/>
              </w:rPr>
            </w:pPr>
            <w:r>
              <w:rPr>
                <w:rFonts w:hint="eastAsia" w:ascii="宋体" w:hAnsi="宋体" w:cs="宋体"/>
                <w:b w:val="0"/>
                <w:bCs w:val="0"/>
                <w:szCs w:val="21"/>
              </w:rPr>
              <w:t>（1）安装手册、使用手册等资料</w:t>
            </w:r>
          </w:p>
          <w:p w14:paraId="3EE3EBD0">
            <w:pPr>
              <w:pStyle w:val="18"/>
              <w:numPr>
                <w:ilvl w:val="0"/>
                <w:numId w:val="0"/>
              </w:numPr>
              <w:spacing w:line="360" w:lineRule="auto"/>
              <w:ind w:left="562" w:leftChars="0"/>
              <w:rPr>
                <w:rFonts w:ascii="宋体" w:hAnsi="宋体" w:cs="宋体"/>
                <w:sz w:val="21"/>
                <w:szCs w:val="21"/>
              </w:rPr>
            </w:pPr>
            <w:r>
              <w:rPr>
                <w:rFonts w:hint="eastAsia" w:ascii="宋体" w:hAnsi="宋体" w:cs="宋体"/>
                <w:b w:val="0"/>
                <w:bCs w:val="0"/>
                <w:szCs w:val="21"/>
              </w:rPr>
              <w:t>（2）验收报告、培训完成确认文件等。</w:t>
            </w:r>
          </w:p>
          <w:p w14:paraId="08B1B146">
            <w:pPr>
              <w:pStyle w:val="18"/>
              <w:numPr>
                <w:ilvl w:val="0"/>
                <w:numId w:val="1"/>
              </w:numPr>
              <w:spacing w:line="360" w:lineRule="auto"/>
              <w:ind w:firstLineChars="0"/>
              <w:rPr>
                <w:rFonts w:ascii="宋体" w:hAnsi="宋体" w:cs="宋体"/>
                <w:b/>
                <w:bCs/>
                <w:szCs w:val="21"/>
              </w:rPr>
            </w:pPr>
            <w:r>
              <w:rPr>
                <w:rFonts w:hint="eastAsia" w:ascii="宋体" w:hAnsi="宋体" w:cs="宋体"/>
                <w:b/>
                <w:bCs/>
                <w:szCs w:val="21"/>
              </w:rPr>
              <w:t>服务要求</w:t>
            </w:r>
          </w:p>
          <w:p w14:paraId="23EA918A">
            <w:pPr>
              <w:numPr>
                <w:ilvl w:val="0"/>
                <w:numId w:val="2"/>
              </w:numPr>
              <w:spacing w:line="360" w:lineRule="auto"/>
              <w:ind w:firstLine="420" w:firstLineChars="200"/>
              <w:contextualSpacing/>
              <w:jc w:val="left"/>
              <w:rPr>
                <w:rFonts w:ascii="宋体" w:hAnsi="宋体"/>
                <w:szCs w:val="21"/>
              </w:rPr>
            </w:pPr>
            <w:r>
              <w:rPr>
                <w:rFonts w:hint="eastAsia" w:ascii="宋体" w:hAnsi="宋体"/>
                <w:szCs w:val="21"/>
              </w:rPr>
              <w:t>企业有相关服务经验</w:t>
            </w:r>
            <w:r>
              <w:rPr>
                <w:rFonts w:ascii="宋体" w:hAnsi="宋体"/>
                <w:szCs w:val="21"/>
              </w:rPr>
              <w:t>：供应商须提供</w:t>
            </w:r>
            <w:r>
              <w:rPr>
                <w:rFonts w:hint="eastAsia" w:ascii="宋体" w:hAnsi="宋体"/>
                <w:szCs w:val="21"/>
              </w:rPr>
              <w:t>合作过案例的证明。</w:t>
            </w:r>
          </w:p>
          <w:p w14:paraId="78DE1D11">
            <w:pPr>
              <w:spacing w:line="360" w:lineRule="auto"/>
              <w:ind w:firstLine="420" w:firstLineChars="200"/>
              <w:contextualSpacing/>
              <w:jc w:val="left"/>
              <w:rPr>
                <w:rFonts w:ascii="宋体" w:hAnsi="宋体" w:cs="宋体"/>
                <w:b/>
                <w:bCs/>
                <w:szCs w:val="21"/>
              </w:rPr>
            </w:pPr>
            <w:r>
              <w:rPr>
                <w:rFonts w:ascii="宋体" w:hAnsi="宋体"/>
                <w:szCs w:val="21"/>
              </w:rPr>
              <w:t>2</w:t>
            </w:r>
            <w:r>
              <w:rPr>
                <w:rFonts w:hint="eastAsia" w:ascii="宋体" w:hAnsi="宋体"/>
                <w:szCs w:val="21"/>
              </w:rPr>
              <w:t>. 提供</w:t>
            </w:r>
            <w:r>
              <w:rPr>
                <w:rFonts w:hint="eastAsia" w:ascii="宋体" w:hAnsi="宋体" w:cs="宋体"/>
                <w:bCs/>
                <w:szCs w:val="21"/>
              </w:rPr>
              <w:t>未被列入“信用中国”网站（www.creditchina.gov.cn）【点击“信用服务”项查询】“失信被执行人”、“重大税收违法案件当事人”、“政府采购严重违法失信行为”查询结果记录名单复印件及中国政府采购网（www.ccgp.gov.cn）“政府采购严重违法失信行为”查询结果记录名单扫描件（单位需加盖公章）。</w:t>
            </w:r>
          </w:p>
          <w:p w14:paraId="7C0E0F61">
            <w:pPr>
              <w:pStyle w:val="18"/>
              <w:numPr>
                <w:ilvl w:val="0"/>
                <w:numId w:val="1"/>
              </w:numPr>
              <w:spacing w:line="360" w:lineRule="auto"/>
              <w:ind w:firstLineChars="0"/>
              <w:rPr>
                <w:rFonts w:ascii="宋体" w:hAnsi="宋体" w:cs="宋体"/>
                <w:b/>
                <w:bCs/>
                <w:szCs w:val="21"/>
              </w:rPr>
            </w:pPr>
            <w:r>
              <w:rPr>
                <w:rFonts w:hint="eastAsia" w:ascii="宋体" w:hAnsi="宋体" w:cs="宋体"/>
                <w:b/>
                <w:bCs/>
                <w:szCs w:val="21"/>
              </w:rPr>
              <w:t>服务完成时间</w:t>
            </w:r>
          </w:p>
          <w:p w14:paraId="42710655">
            <w:pPr>
              <w:spacing w:line="360" w:lineRule="auto"/>
              <w:ind w:firstLine="420" w:firstLineChars="200"/>
              <w:rPr>
                <w:rFonts w:ascii="宋体" w:hAnsi="宋体" w:cs="宋体"/>
                <w:szCs w:val="21"/>
              </w:rPr>
            </w:pPr>
            <w:r>
              <w:rPr>
                <w:rFonts w:hint="eastAsia" w:ascii="宋体" w:hAnsi="宋体" w:cs="宋体"/>
                <w:szCs w:val="21"/>
              </w:rPr>
              <w:t>本次项目自合同正式签署生效起</w:t>
            </w:r>
            <w:r>
              <w:rPr>
                <w:rFonts w:ascii="宋体" w:hAnsi="宋体" w:cs="宋体"/>
                <w:szCs w:val="21"/>
              </w:rPr>
              <w:t>15</w:t>
            </w:r>
            <w:bookmarkStart w:id="0" w:name="_GoBack"/>
            <w:bookmarkEnd w:id="0"/>
            <w:r>
              <w:rPr>
                <w:rFonts w:hint="eastAsia" w:ascii="宋体" w:hAnsi="宋体" w:cs="宋体"/>
                <w:szCs w:val="21"/>
              </w:rPr>
              <w:t>日内完成安装调试。</w:t>
            </w:r>
          </w:p>
          <w:p w14:paraId="050CBBBB">
            <w:pPr>
              <w:pStyle w:val="18"/>
              <w:numPr>
                <w:ilvl w:val="0"/>
                <w:numId w:val="1"/>
              </w:numPr>
              <w:spacing w:line="360" w:lineRule="auto"/>
              <w:ind w:firstLineChars="0"/>
              <w:rPr>
                <w:rFonts w:ascii="宋体" w:hAnsi="宋体" w:cs="宋体"/>
                <w:b/>
                <w:bCs/>
                <w:szCs w:val="21"/>
              </w:rPr>
            </w:pPr>
            <w:r>
              <w:rPr>
                <w:rFonts w:hint="eastAsia" w:ascii="宋体" w:hAnsi="宋体" w:cs="宋体"/>
                <w:b/>
                <w:bCs/>
                <w:szCs w:val="21"/>
              </w:rPr>
              <w:t>采购数量</w:t>
            </w:r>
          </w:p>
          <w:tbl>
            <w:tblPr>
              <w:tblStyle w:val="13"/>
              <w:tblW w:w="75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9"/>
              <w:gridCol w:w="1128"/>
              <w:gridCol w:w="4410"/>
              <w:gridCol w:w="758"/>
              <w:gridCol w:w="673"/>
            </w:tblGrid>
            <w:tr w14:paraId="2BC5A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609" w:type="dxa"/>
                  <w:vAlign w:val="center"/>
                </w:tcPr>
                <w:p w14:paraId="548AA809">
                  <w:pPr>
                    <w:pStyle w:val="18"/>
                    <w:spacing w:before="156" w:beforeLines="50" w:after="156" w:afterLines="50" w:line="360" w:lineRule="auto"/>
                    <w:ind w:firstLine="0" w:firstLineChars="0"/>
                    <w:jc w:val="center"/>
                    <w:rPr>
                      <w:rFonts w:hint="eastAsia" w:ascii="宋体" w:hAnsi="宋体"/>
                      <w:b/>
                      <w:color w:val="000000"/>
                      <w:szCs w:val="21"/>
                    </w:rPr>
                  </w:pPr>
                  <w:r>
                    <w:rPr>
                      <w:rFonts w:hint="eastAsia" w:ascii="宋体" w:hAnsi="宋体"/>
                      <w:b/>
                      <w:color w:val="000000"/>
                      <w:szCs w:val="21"/>
                    </w:rPr>
                    <w:t>序号</w:t>
                  </w:r>
                </w:p>
              </w:tc>
              <w:tc>
                <w:tcPr>
                  <w:tcW w:w="1128" w:type="dxa"/>
                  <w:vAlign w:val="center"/>
                </w:tcPr>
                <w:p w14:paraId="665D3676">
                  <w:pPr>
                    <w:pStyle w:val="25"/>
                    <w:spacing w:before="156" w:beforeLines="50" w:after="156" w:afterLines="50" w:line="360" w:lineRule="auto"/>
                    <w:ind w:firstLine="0" w:firstLineChars="0"/>
                    <w:jc w:val="center"/>
                    <w:rPr>
                      <w:rFonts w:hint="eastAsia" w:ascii="宋体" w:hAnsi="宋体"/>
                      <w:b/>
                      <w:color w:val="000000"/>
                      <w:szCs w:val="21"/>
                    </w:rPr>
                  </w:pPr>
                  <w:r>
                    <w:rPr>
                      <w:rFonts w:hint="eastAsia" w:ascii="宋体" w:hAnsi="宋体"/>
                      <w:b/>
                      <w:color w:val="000000"/>
                      <w:szCs w:val="21"/>
                    </w:rPr>
                    <w:t>设备名称</w:t>
                  </w:r>
                </w:p>
              </w:tc>
              <w:tc>
                <w:tcPr>
                  <w:tcW w:w="4410" w:type="dxa"/>
                  <w:vAlign w:val="center"/>
                </w:tcPr>
                <w:p w14:paraId="491DF64F">
                  <w:pPr>
                    <w:pStyle w:val="23"/>
                    <w:spacing w:line="360" w:lineRule="auto"/>
                    <w:jc w:val="center"/>
                    <w:rPr>
                      <w:rFonts w:hint="default" w:ascii="宋体" w:hAnsi="宋体" w:eastAsia="宋体"/>
                      <w:b/>
                      <w:szCs w:val="21"/>
                      <w:lang w:val="en-US" w:eastAsia="zh-CN"/>
                    </w:rPr>
                  </w:pPr>
                  <w:r>
                    <w:rPr>
                      <w:rFonts w:hint="eastAsia" w:ascii="宋体" w:hAnsi="宋体"/>
                      <w:b/>
                      <w:szCs w:val="21"/>
                      <w:lang w:val="en-US" w:eastAsia="zh-CN"/>
                    </w:rPr>
                    <w:t>配置要求</w:t>
                  </w:r>
                </w:p>
              </w:tc>
              <w:tc>
                <w:tcPr>
                  <w:tcW w:w="758" w:type="dxa"/>
                  <w:vAlign w:val="center"/>
                </w:tcPr>
                <w:p w14:paraId="7A81FCA2">
                  <w:pPr>
                    <w:pStyle w:val="23"/>
                    <w:spacing w:line="360" w:lineRule="auto"/>
                    <w:jc w:val="center"/>
                    <w:rPr>
                      <w:rFonts w:hint="eastAsia" w:ascii="宋体" w:hAnsi="宋体"/>
                      <w:b/>
                      <w:szCs w:val="21"/>
                    </w:rPr>
                  </w:pPr>
                  <w:r>
                    <w:rPr>
                      <w:rFonts w:hint="eastAsia" w:ascii="宋体" w:hAnsi="宋体"/>
                      <w:b/>
                      <w:szCs w:val="21"/>
                    </w:rPr>
                    <w:t>单位</w:t>
                  </w:r>
                </w:p>
              </w:tc>
              <w:tc>
                <w:tcPr>
                  <w:tcW w:w="673" w:type="dxa"/>
                  <w:vAlign w:val="center"/>
                </w:tcPr>
                <w:p w14:paraId="67C5D693">
                  <w:pPr>
                    <w:pStyle w:val="23"/>
                    <w:spacing w:line="360" w:lineRule="auto"/>
                    <w:jc w:val="center"/>
                    <w:rPr>
                      <w:rFonts w:hint="eastAsia" w:ascii="宋体" w:hAnsi="宋体"/>
                      <w:b/>
                      <w:szCs w:val="21"/>
                    </w:rPr>
                  </w:pPr>
                  <w:r>
                    <w:rPr>
                      <w:rFonts w:hint="eastAsia" w:ascii="宋体" w:hAnsi="宋体"/>
                      <w:b/>
                      <w:szCs w:val="21"/>
                    </w:rPr>
                    <w:t>数量</w:t>
                  </w:r>
                </w:p>
              </w:tc>
            </w:tr>
            <w:tr w14:paraId="6C560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2" w:hRule="atLeast"/>
                <w:jc w:val="center"/>
              </w:trPr>
              <w:tc>
                <w:tcPr>
                  <w:tcW w:w="609" w:type="dxa"/>
                  <w:vAlign w:val="center"/>
                </w:tcPr>
                <w:p w14:paraId="595DC978">
                  <w:pPr>
                    <w:pStyle w:val="23"/>
                    <w:spacing w:line="360" w:lineRule="auto"/>
                    <w:jc w:val="center"/>
                    <w:rPr>
                      <w:rFonts w:hint="eastAsia" w:ascii="宋体" w:hAnsi="宋体"/>
                      <w:szCs w:val="21"/>
                    </w:rPr>
                  </w:pPr>
                  <w:r>
                    <w:rPr>
                      <w:rFonts w:hint="eastAsia" w:ascii="宋体" w:hAnsi="宋体"/>
                      <w:szCs w:val="21"/>
                    </w:rPr>
                    <w:t>1</w:t>
                  </w:r>
                </w:p>
              </w:tc>
              <w:tc>
                <w:tcPr>
                  <w:tcW w:w="1128" w:type="dxa"/>
                  <w:vAlign w:val="center"/>
                </w:tcPr>
                <w:p w14:paraId="7E06D82E">
                  <w:pPr>
                    <w:pStyle w:val="23"/>
                    <w:spacing w:line="360" w:lineRule="auto"/>
                    <w:jc w:val="center"/>
                    <w:rPr>
                      <w:rFonts w:hint="default" w:ascii="宋体" w:hAnsi="宋体" w:eastAsia="宋体"/>
                      <w:szCs w:val="21"/>
                      <w:lang w:val="en-US" w:eastAsia="zh-CN"/>
                    </w:rPr>
                  </w:pPr>
                  <w:r>
                    <w:rPr>
                      <w:rFonts w:hint="eastAsia" w:ascii="宋体" w:hAnsi="宋体"/>
                      <w:szCs w:val="21"/>
                      <w:lang w:val="en-US" w:eastAsia="zh-CN"/>
                    </w:rPr>
                    <w:t>巡课数字人系统服务器</w:t>
                  </w:r>
                </w:p>
              </w:tc>
              <w:tc>
                <w:tcPr>
                  <w:tcW w:w="4410" w:type="dxa"/>
                  <w:vAlign w:val="center"/>
                </w:tcPr>
                <w:p w14:paraId="2B57735D">
                  <w:pPr>
                    <w:pStyle w:val="23"/>
                    <w:spacing w:line="360" w:lineRule="auto"/>
                    <w:jc w:val="center"/>
                    <w:rPr>
                      <w:rFonts w:hint="eastAsia" w:ascii="宋体" w:hAnsi="宋体"/>
                      <w:szCs w:val="21"/>
                      <w:lang w:val="en-US" w:eastAsia="zh-CN"/>
                    </w:rPr>
                  </w:pPr>
                  <w:r>
                    <w:rPr>
                      <w:rFonts w:hint="eastAsia" w:ascii="宋体" w:hAnsi="宋体" w:cs="宋体"/>
                      <w:sz w:val="21"/>
                      <w:szCs w:val="21"/>
                      <w:lang w:val="en-US" w:eastAsia="zh-CN"/>
                    </w:rPr>
                    <w:t>CPU：Intel Xeon可扩展系列处理器，不低于2颗CPU且主频≥2.1GHz，单颗核心数≥32C核；内存：配置≥128GB DDR5内存；硬盘：配置≥2块960GB SSD，RAID卡：支持RAID 0/1/5/6/50/60；网络接口：配置≥2个千兆网络电口，配置≥2个10Gb网口(含多模光模块)；电源：配置1+1冗余电源，电源模块额定功率≥1600W，配置≥2个电源。</w:t>
                  </w:r>
                </w:p>
              </w:tc>
              <w:tc>
                <w:tcPr>
                  <w:tcW w:w="758" w:type="dxa"/>
                  <w:vAlign w:val="center"/>
                </w:tcPr>
                <w:p w14:paraId="100A984F">
                  <w:pPr>
                    <w:pStyle w:val="23"/>
                    <w:spacing w:line="360" w:lineRule="auto"/>
                    <w:jc w:val="center"/>
                    <w:rPr>
                      <w:rFonts w:hint="eastAsia" w:ascii="宋体" w:hAnsi="宋体" w:eastAsia="宋体"/>
                      <w:szCs w:val="21"/>
                      <w:lang w:val="en-US" w:eastAsia="zh-CN"/>
                    </w:rPr>
                  </w:pPr>
                  <w:r>
                    <w:rPr>
                      <w:rFonts w:hint="eastAsia" w:ascii="宋体" w:hAnsi="宋体"/>
                      <w:szCs w:val="21"/>
                      <w:lang w:val="en-US" w:eastAsia="zh-CN"/>
                    </w:rPr>
                    <w:t>台</w:t>
                  </w:r>
                </w:p>
              </w:tc>
              <w:tc>
                <w:tcPr>
                  <w:tcW w:w="673" w:type="dxa"/>
                  <w:vAlign w:val="center"/>
                </w:tcPr>
                <w:p w14:paraId="0181D1B0">
                  <w:pPr>
                    <w:pStyle w:val="23"/>
                    <w:spacing w:line="360" w:lineRule="auto"/>
                    <w:jc w:val="center"/>
                    <w:rPr>
                      <w:rFonts w:hint="eastAsia" w:ascii="宋体" w:hAnsi="宋体" w:eastAsia="宋体"/>
                      <w:szCs w:val="21"/>
                      <w:lang w:val="en-US" w:eastAsia="zh-CN"/>
                    </w:rPr>
                  </w:pPr>
                  <w:r>
                    <w:rPr>
                      <w:rFonts w:hint="eastAsia" w:ascii="宋体" w:hAnsi="宋体"/>
                      <w:szCs w:val="21"/>
                      <w:lang w:val="en-US" w:eastAsia="zh-CN"/>
                    </w:rPr>
                    <w:t>2</w:t>
                  </w:r>
                </w:p>
              </w:tc>
            </w:tr>
          </w:tbl>
          <w:tbl>
            <w:tblPr>
              <w:tblStyle w:val="13"/>
              <w:tblpPr w:leftFromText="180" w:rightFromText="180" w:vertAnchor="text" w:horzAnchor="page" w:tblpX="116" w:tblpY="460"/>
              <w:tblOverlap w:val="never"/>
              <w:tblW w:w="498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0"/>
              <w:gridCol w:w="1249"/>
              <w:gridCol w:w="5740"/>
            </w:tblGrid>
            <w:tr w14:paraId="352CE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449" w:type="pct"/>
                  <w:noWrap w:val="0"/>
                  <w:vAlign w:val="top"/>
                </w:tcPr>
                <w:p w14:paraId="7E270941">
                  <w:pPr>
                    <w:ind w:left="46"/>
                    <w:jc w:val="center"/>
                    <w:rPr>
                      <w:rFonts w:hint="eastAsia" w:ascii="宋体" w:hAnsi="宋体" w:eastAsia="宋体" w:cs="宋体"/>
                      <w:b/>
                      <w:sz w:val="21"/>
                      <w:szCs w:val="21"/>
                    </w:rPr>
                  </w:pPr>
                  <w:r>
                    <w:rPr>
                      <w:rFonts w:hint="eastAsia" w:ascii="宋体" w:hAnsi="宋体" w:eastAsia="宋体" w:cs="宋体"/>
                      <w:b/>
                      <w:sz w:val="21"/>
                      <w:szCs w:val="21"/>
                    </w:rPr>
                    <w:t>序号</w:t>
                  </w:r>
                </w:p>
              </w:tc>
              <w:tc>
                <w:tcPr>
                  <w:tcW w:w="813" w:type="pct"/>
                  <w:noWrap w:val="0"/>
                  <w:vAlign w:val="top"/>
                </w:tcPr>
                <w:p w14:paraId="44878B50">
                  <w:pPr>
                    <w:ind w:left="46"/>
                    <w:jc w:val="center"/>
                    <w:rPr>
                      <w:rFonts w:hint="eastAsia" w:ascii="宋体" w:hAnsi="宋体" w:eastAsia="宋体" w:cs="宋体"/>
                      <w:b/>
                      <w:sz w:val="21"/>
                      <w:szCs w:val="21"/>
                    </w:rPr>
                  </w:pPr>
                  <w:r>
                    <w:rPr>
                      <w:rFonts w:hint="eastAsia" w:ascii="宋体" w:hAnsi="宋体" w:eastAsia="宋体" w:cs="宋体"/>
                      <w:b/>
                      <w:sz w:val="21"/>
                      <w:szCs w:val="21"/>
                    </w:rPr>
                    <w:t>指标项</w:t>
                  </w:r>
                </w:p>
              </w:tc>
              <w:tc>
                <w:tcPr>
                  <w:tcW w:w="3736" w:type="pct"/>
                  <w:noWrap w:val="0"/>
                  <w:vAlign w:val="top"/>
                </w:tcPr>
                <w:p w14:paraId="22216E0E">
                  <w:pPr>
                    <w:ind w:left="46"/>
                    <w:jc w:val="center"/>
                    <w:rPr>
                      <w:rFonts w:hint="eastAsia" w:ascii="宋体" w:hAnsi="宋体" w:eastAsia="宋体" w:cs="宋体"/>
                      <w:b/>
                      <w:sz w:val="21"/>
                      <w:szCs w:val="21"/>
                    </w:rPr>
                  </w:pPr>
                  <w:r>
                    <w:rPr>
                      <w:rFonts w:hint="eastAsia" w:ascii="宋体" w:hAnsi="宋体" w:eastAsia="宋体" w:cs="宋体"/>
                      <w:b/>
                      <w:sz w:val="21"/>
                      <w:szCs w:val="21"/>
                    </w:rPr>
                    <w:t>技术要求</w:t>
                  </w:r>
                </w:p>
              </w:tc>
            </w:tr>
            <w:tr w14:paraId="36216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449" w:type="pct"/>
                  <w:noWrap w:val="0"/>
                  <w:vAlign w:val="top"/>
                </w:tcPr>
                <w:p w14:paraId="3AE60098">
                  <w:pPr>
                    <w:widowControl w:val="0"/>
                    <w:numPr>
                      <w:ilvl w:val="0"/>
                      <w:numId w:val="0"/>
                    </w:numPr>
                    <w:ind w:left="440" w:leftChars="0" w:hanging="440" w:firstLineChars="0"/>
                    <w:jc w:val="center"/>
                    <w:textAlignment w:val="auto"/>
                    <w:rPr>
                      <w:rFonts w:hint="eastAsia" w:ascii="宋体" w:hAnsi="宋体" w:eastAsia="宋体" w:cs="宋体"/>
                      <w:bCs/>
                      <w:sz w:val="21"/>
                      <w:szCs w:val="21"/>
                    </w:rPr>
                  </w:pPr>
                  <w:r>
                    <w:rPr>
                      <w:rFonts w:hint="eastAsia" w:ascii="宋体" w:hAnsi="宋体" w:eastAsia="宋体" w:cs="宋体"/>
                      <w:bCs/>
                      <w:kern w:val="2"/>
                      <w:sz w:val="21"/>
                      <w:szCs w:val="21"/>
                      <w:lang w:val="en-US" w:eastAsia="zh-CN" w:bidi="ar-SA"/>
                    </w:rPr>
                    <w:t>1</w:t>
                  </w:r>
                </w:p>
              </w:tc>
              <w:tc>
                <w:tcPr>
                  <w:tcW w:w="813" w:type="pct"/>
                  <w:noWrap w:val="0"/>
                  <w:vAlign w:val="center"/>
                </w:tcPr>
                <w:p w14:paraId="0DE1C842">
                  <w:pPr>
                    <w:jc w:val="center"/>
                    <w:rPr>
                      <w:rFonts w:hint="eastAsia" w:ascii="宋体" w:hAnsi="宋体" w:eastAsia="宋体" w:cs="宋体"/>
                      <w:b/>
                      <w:bCs/>
                      <w:sz w:val="21"/>
                      <w:szCs w:val="21"/>
                    </w:rPr>
                  </w:pPr>
                  <w:r>
                    <w:rPr>
                      <w:rFonts w:hint="eastAsia" w:ascii="宋体" w:hAnsi="宋体" w:eastAsia="宋体" w:cs="宋体"/>
                      <w:b/>
                      <w:sz w:val="21"/>
                      <w:szCs w:val="21"/>
                    </w:rPr>
                    <w:t>规格</w:t>
                  </w:r>
                </w:p>
              </w:tc>
              <w:tc>
                <w:tcPr>
                  <w:tcW w:w="3736" w:type="pct"/>
                  <w:noWrap w:val="0"/>
                  <w:vAlign w:val="center"/>
                </w:tcPr>
                <w:p w14:paraId="7E8EB448">
                  <w:pPr>
                    <w:rPr>
                      <w:rFonts w:hint="eastAsia" w:ascii="宋体" w:hAnsi="宋体" w:eastAsia="宋体" w:cs="宋体"/>
                      <w:b/>
                      <w:bCs/>
                      <w:sz w:val="21"/>
                      <w:szCs w:val="21"/>
                    </w:rPr>
                  </w:pPr>
                  <w:r>
                    <w:rPr>
                      <w:rFonts w:hint="eastAsia" w:ascii="宋体" w:hAnsi="宋体" w:eastAsia="宋体" w:cs="宋体"/>
                      <w:sz w:val="21"/>
                      <w:szCs w:val="21"/>
                    </w:rPr>
                    <w:t>机架式服务器，满配置时机架高度≥2U</w:t>
                  </w:r>
                </w:p>
              </w:tc>
            </w:tr>
            <w:tr w14:paraId="3161D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trPr>
              <w:tc>
                <w:tcPr>
                  <w:tcW w:w="449" w:type="pct"/>
                  <w:noWrap w:val="0"/>
                  <w:vAlign w:val="top"/>
                </w:tcPr>
                <w:p w14:paraId="3BF2FDFE">
                  <w:pPr>
                    <w:widowControl w:val="0"/>
                    <w:numPr>
                      <w:ilvl w:val="0"/>
                      <w:numId w:val="0"/>
                    </w:numPr>
                    <w:ind w:left="440" w:leftChars="0" w:hanging="440" w:firstLineChars="0"/>
                    <w:jc w:val="center"/>
                    <w:textAlignment w:val="auto"/>
                    <w:rPr>
                      <w:rFonts w:hint="eastAsia" w:ascii="宋体" w:hAnsi="宋体" w:eastAsia="宋体" w:cs="宋体"/>
                      <w:bCs/>
                      <w:sz w:val="21"/>
                      <w:szCs w:val="21"/>
                    </w:rPr>
                  </w:pPr>
                  <w:r>
                    <w:rPr>
                      <w:rFonts w:hint="eastAsia" w:ascii="宋体" w:hAnsi="宋体" w:eastAsia="宋体" w:cs="宋体"/>
                      <w:bCs/>
                      <w:kern w:val="2"/>
                      <w:sz w:val="21"/>
                      <w:szCs w:val="21"/>
                      <w:lang w:val="en-US" w:eastAsia="zh-CN" w:bidi="ar-SA"/>
                    </w:rPr>
                    <w:t>2</w:t>
                  </w:r>
                </w:p>
              </w:tc>
              <w:tc>
                <w:tcPr>
                  <w:tcW w:w="813" w:type="pct"/>
                  <w:noWrap w:val="0"/>
                  <w:vAlign w:val="top"/>
                </w:tcPr>
                <w:p w14:paraId="3936F026">
                  <w:pPr>
                    <w:jc w:val="center"/>
                    <w:rPr>
                      <w:rFonts w:hint="eastAsia" w:ascii="宋体" w:hAnsi="宋体" w:eastAsia="宋体" w:cs="宋体"/>
                      <w:b/>
                      <w:bCs/>
                      <w:sz w:val="21"/>
                      <w:szCs w:val="21"/>
                    </w:rPr>
                  </w:pPr>
                  <w:r>
                    <w:rPr>
                      <w:rFonts w:hint="eastAsia" w:ascii="宋体" w:hAnsi="宋体" w:eastAsia="宋体" w:cs="宋体"/>
                      <w:b/>
                      <w:bCs/>
                      <w:sz w:val="21"/>
                      <w:szCs w:val="21"/>
                    </w:rPr>
                    <w:t>处理器</w:t>
                  </w:r>
                </w:p>
              </w:tc>
              <w:tc>
                <w:tcPr>
                  <w:tcW w:w="3736" w:type="pct"/>
                  <w:noWrap w:val="0"/>
                  <w:vAlign w:val="top"/>
                </w:tcPr>
                <w:p w14:paraId="0C2A2227">
                  <w:pP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数量≥2 Intel Xeon可扩展系列处理器，本次配置不低于2颗CPU且主频≥2.1GHz，单颗核心数≥32C核</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提供技术证明材料</w:t>
                  </w:r>
                </w:p>
              </w:tc>
            </w:tr>
            <w:tr w14:paraId="41D78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449" w:type="pct"/>
                  <w:noWrap w:val="0"/>
                  <w:vAlign w:val="top"/>
                </w:tcPr>
                <w:p w14:paraId="1E834DA1">
                  <w:pPr>
                    <w:widowControl w:val="0"/>
                    <w:numPr>
                      <w:ilvl w:val="0"/>
                      <w:numId w:val="0"/>
                    </w:numPr>
                    <w:ind w:left="440" w:leftChars="0" w:hanging="440" w:firstLineChars="0"/>
                    <w:jc w:val="center"/>
                    <w:textAlignment w:val="auto"/>
                    <w:rPr>
                      <w:rFonts w:hint="eastAsia" w:ascii="宋体" w:hAnsi="宋体" w:eastAsia="宋体" w:cs="宋体"/>
                      <w:bCs/>
                      <w:sz w:val="21"/>
                      <w:szCs w:val="21"/>
                    </w:rPr>
                  </w:pPr>
                  <w:r>
                    <w:rPr>
                      <w:rFonts w:hint="eastAsia" w:ascii="宋体" w:hAnsi="宋体" w:eastAsia="宋体" w:cs="宋体"/>
                      <w:bCs/>
                      <w:kern w:val="2"/>
                      <w:sz w:val="21"/>
                      <w:szCs w:val="21"/>
                      <w:lang w:val="en-US" w:eastAsia="zh-CN" w:bidi="ar-SA"/>
                    </w:rPr>
                    <w:t>3</w:t>
                  </w:r>
                </w:p>
              </w:tc>
              <w:tc>
                <w:tcPr>
                  <w:tcW w:w="813" w:type="pct"/>
                  <w:noWrap w:val="0"/>
                  <w:vAlign w:val="top"/>
                </w:tcPr>
                <w:p w14:paraId="36A2F64E">
                  <w:pPr>
                    <w:jc w:val="center"/>
                    <w:rPr>
                      <w:rFonts w:hint="eastAsia" w:ascii="宋体" w:hAnsi="宋体" w:eastAsia="宋体" w:cs="宋体"/>
                      <w:b/>
                      <w:bCs/>
                      <w:sz w:val="21"/>
                      <w:szCs w:val="21"/>
                    </w:rPr>
                  </w:pPr>
                  <w:r>
                    <w:rPr>
                      <w:rFonts w:hint="eastAsia" w:ascii="宋体" w:hAnsi="宋体" w:eastAsia="宋体" w:cs="宋体"/>
                      <w:b/>
                      <w:bCs/>
                      <w:sz w:val="21"/>
                      <w:szCs w:val="21"/>
                    </w:rPr>
                    <w:t>内存</w:t>
                  </w:r>
                </w:p>
              </w:tc>
              <w:tc>
                <w:tcPr>
                  <w:tcW w:w="3736" w:type="pct"/>
                  <w:noWrap w:val="0"/>
                  <w:vAlign w:val="top"/>
                </w:tcPr>
                <w:p w14:paraId="1430F377">
                  <w:pP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配置≥128GB DDR5内存，最大支持32个内存插槽</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提供技术证明材料</w:t>
                  </w:r>
                </w:p>
              </w:tc>
            </w:tr>
            <w:tr w14:paraId="092D6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449" w:type="pct"/>
                  <w:noWrap w:val="0"/>
                  <w:vAlign w:val="top"/>
                </w:tcPr>
                <w:p w14:paraId="46ECD17B">
                  <w:pPr>
                    <w:widowControl w:val="0"/>
                    <w:numPr>
                      <w:ilvl w:val="0"/>
                      <w:numId w:val="0"/>
                    </w:numPr>
                    <w:ind w:left="440" w:leftChars="0" w:hanging="440" w:firstLineChars="0"/>
                    <w:jc w:val="center"/>
                    <w:textAlignment w:val="auto"/>
                    <w:rPr>
                      <w:rFonts w:hint="eastAsia" w:ascii="宋体" w:hAnsi="宋体" w:eastAsia="宋体" w:cs="宋体"/>
                      <w:bCs/>
                      <w:sz w:val="21"/>
                      <w:szCs w:val="21"/>
                    </w:rPr>
                  </w:pPr>
                  <w:r>
                    <w:rPr>
                      <w:rFonts w:hint="eastAsia" w:ascii="宋体" w:hAnsi="宋体" w:eastAsia="宋体" w:cs="宋体"/>
                      <w:bCs/>
                      <w:kern w:val="2"/>
                      <w:sz w:val="21"/>
                      <w:szCs w:val="21"/>
                      <w:lang w:val="en-US" w:eastAsia="zh-CN" w:bidi="ar-SA"/>
                    </w:rPr>
                    <w:t>4</w:t>
                  </w:r>
                </w:p>
              </w:tc>
              <w:tc>
                <w:tcPr>
                  <w:tcW w:w="813" w:type="pct"/>
                  <w:vMerge w:val="restart"/>
                  <w:noWrap w:val="0"/>
                  <w:vAlign w:val="top"/>
                </w:tcPr>
                <w:p w14:paraId="0673E6C4">
                  <w:pPr>
                    <w:jc w:val="center"/>
                    <w:rPr>
                      <w:rFonts w:hint="eastAsia" w:ascii="宋体" w:hAnsi="宋体" w:eastAsia="宋体" w:cs="宋体"/>
                      <w:b/>
                      <w:bCs/>
                      <w:sz w:val="21"/>
                      <w:szCs w:val="21"/>
                    </w:rPr>
                  </w:pPr>
                  <w:r>
                    <w:rPr>
                      <w:rFonts w:hint="eastAsia" w:ascii="宋体" w:hAnsi="宋体" w:eastAsia="宋体" w:cs="宋体"/>
                      <w:b/>
                      <w:bCs/>
                      <w:sz w:val="21"/>
                      <w:szCs w:val="21"/>
                    </w:rPr>
                    <w:t>本地存储</w:t>
                  </w:r>
                </w:p>
              </w:tc>
              <w:tc>
                <w:tcPr>
                  <w:tcW w:w="3736" w:type="pct"/>
                  <w:noWrap w:val="0"/>
                  <w:vAlign w:val="top"/>
                </w:tcPr>
                <w:p w14:paraId="2467AA17">
                  <w:pPr>
                    <w:rPr>
                      <w:rFonts w:hint="eastAsia" w:ascii="宋体" w:hAnsi="宋体" w:eastAsia="宋体" w:cs="宋体"/>
                      <w:color w:val="auto"/>
                      <w:sz w:val="21"/>
                      <w:szCs w:val="21"/>
                    </w:rPr>
                  </w:pPr>
                  <w:r>
                    <w:rPr>
                      <w:rFonts w:hint="eastAsia" w:ascii="宋体" w:hAnsi="宋体" w:eastAsia="宋体" w:cs="宋体"/>
                      <w:color w:val="auto"/>
                      <w:sz w:val="21"/>
                      <w:szCs w:val="21"/>
                    </w:rPr>
                    <w:t>支持≥12个3.5寸热插拔硬盘扩展槽位，可支持SAS/SATA/NVMe接口，主板支持≥2个 M.2接口</w:t>
                  </w:r>
                </w:p>
              </w:tc>
            </w:tr>
            <w:tr w14:paraId="0EF9A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449" w:type="pct"/>
                  <w:noWrap w:val="0"/>
                  <w:vAlign w:val="top"/>
                </w:tcPr>
                <w:p w14:paraId="03A3FFFB">
                  <w:pPr>
                    <w:widowControl w:val="0"/>
                    <w:numPr>
                      <w:ilvl w:val="0"/>
                      <w:numId w:val="0"/>
                    </w:numPr>
                    <w:ind w:left="440" w:leftChars="0" w:hanging="440" w:firstLineChars="0"/>
                    <w:jc w:val="center"/>
                    <w:textAlignment w:val="auto"/>
                    <w:rPr>
                      <w:rFonts w:hint="eastAsia" w:ascii="宋体" w:hAnsi="宋体" w:eastAsia="宋体" w:cs="宋体"/>
                      <w:bCs/>
                      <w:sz w:val="21"/>
                      <w:szCs w:val="21"/>
                    </w:rPr>
                  </w:pPr>
                  <w:r>
                    <w:rPr>
                      <w:rFonts w:hint="eastAsia" w:ascii="宋体" w:hAnsi="宋体" w:eastAsia="宋体" w:cs="宋体"/>
                      <w:bCs/>
                      <w:kern w:val="2"/>
                      <w:sz w:val="21"/>
                      <w:szCs w:val="21"/>
                      <w:lang w:val="en-US" w:eastAsia="zh-CN" w:bidi="ar-SA"/>
                    </w:rPr>
                    <w:t>5</w:t>
                  </w:r>
                </w:p>
              </w:tc>
              <w:tc>
                <w:tcPr>
                  <w:tcW w:w="813" w:type="pct"/>
                  <w:vMerge w:val="continue"/>
                  <w:noWrap w:val="0"/>
                  <w:vAlign w:val="top"/>
                </w:tcPr>
                <w:p w14:paraId="0F31BA45">
                  <w:pPr>
                    <w:jc w:val="center"/>
                    <w:rPr>
                      <w:rFonts w:hint="eastAsia" w:ascii="宋体" w:hAnsi="宋体" w:eastAsia="宋体" w:cs="宋体"/>
                      <w:b/>
                      <w:bCs/>
                      <w:sz w:val="21"/>
                      <w:szCs w:val="21"/>
                    </w:rPr>
                  </w:pPr>
                </w:p>
              </w:tc>
              <w:tc>
                <w:tcPr>
                  <w:tcW w:w="3736" w:type="pct"/>
                  <w:noWrap w:val="0"/>
                  <w:vAlign w:val="top"/>
                </w:tcPr>
                <w:p w14:paraId="526E43A3">
                  <w:pP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配置≥2块960GB SSD</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提供技术证明材料</w:t>
                  </w:r>
                </w:p>
              </w:tc>
            </w:tr>
            <w:tr w14:paraId="1541A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449" w:type="pct"/>
                  <w:noWrap w:val="0"/>
                  <w:vAlign w:val="top"/>
                </w:tcPr>
                <w:p w14:paraId="71839F54">
                  <w:pPr>
                    <w:widowControl w:val="0"/>
                    <w:numPr>
                      <w:ilvl w:val="0"/>
                      <w:numId w:val="0"/>
                    </w:numPr>
                    <w:ind w:left="440" w:leftChars="0" w:hanging="440" w:firstLineChars="0"/>
                    <w:jc w:val="center"/>
                    <w:textAlignment w:val="auto"/>
                    <w:rPr>
                      <w:rFonts w:hint="eastAsia" w:ascii="宋体" w:hAnsi="宋体" w:eastAsia="宋体" w:cs="宋体"/>
                      <w:bCs/>
                      <w:sz w:val="21"/>
                      <w:szCs w:val="21"/>
                    </w:rPr>
                  </w:pPr>
                  <w:r>
                    <w:rPr>
                      <w:rFonts w:hint="eastAsia" w:ascii="宋体" w:hAnsi="宋体" w:eastAsia="宋体" w:cs="宋体"/>
                      <w:bCs/>
                      <w:kern w:val="2"/>
                      <w:sz w:val="21"/>
                      <w:szCs w:val="21"/>
                      <w:lang w:val="en-US" w:eastAsia="zh-CN" w:bidi="ar-SA"/>
                    </w:rPr>
                    <w:t>6</w:t>
                  </w:r>
                </w:p>
              </w:tc>
              <w:tc>
                <w:tcPr>
                  <w:tcW w:w="813" w:type="pct"/>
                  <w:noWrap w:val="0"/>
                  <w:vAlign w:val="top"/>
                </w:tcPr>
                <w:p w14:paraId="756DD605">
                  <w:pPr>
                    <w:jc w:val="center"/>
                    <w:rPr>
                      <w:rFonts w:hint="eastAsia" w:ascii="宋体" w:hAnsi="宋体" w:eastAsia="宋体" w:cs="宋体"/>
                      <w:b/>
                      <w:bCs/>
                      <w:sz w:val="21"/>
                      <w:szCs w:val="21"/>
                    </w:rPr>
                  </w:pPr>
                  <w:r>
                    <w:rPr>
                      <w:rFonts w:hint="eastAsia" w:ascii="宋体" w:hAnsi="宋体" w:eastAsia="宋体" w:cs="宋体"/>
                      <w:b/>
                      <w:bCs/>
                      <w:sz w:val="21"/>
                      <w:szCs w:val="21"/>
                    </w:rPr>
                    <w:t>RAID卡</w:t>
                  </w:r>
                </w:p>
              </w:tc>
              <w:tc>
                <w:tcPr>
                  <w:tcW w:w="3736" w:type="pct"/>
                  <w:noWrap w:val="0"/>
                  <w:vAlign w:val="top"/>
                </w:tcPr>
                <w:p w14:paraId="1AC55ADD">
                  <w:pPr>
                    <w:rPr>
                      <w:rFonts w:hint="eastAsia" w:ascii="宋体" w:hAnsi="宋体" w:eastAsia="宋体" w:cs="宋体"/>
                      <w:color w:val="auto"/>
                      <w:sz w:val="21"/>
                      <w:szCs w:val="21"/>
                    </w:rPr>
                  </w:pPr>
                  <w:r>
                    <w:rPr>
                      <w:rFonts w:hint="eastAsia" w:ascii="宋体" w:hAnsi="宋体" w:eastAsia="宋体" w:cs="宋体"/>
                      <w:color w:val="auto"/>
                      <w:sz w:val="21"/>
                      <w:szCs w:val="21"/>
                    </w:rPr>
                    <w:t>支持RAID 0/1/5/6/50/60</w:t>
                  </w:r>
                </w:p>
              </w:tc>
            </w:tr>
            <w:tr w14:paraId="52C07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trPr>
              <w:tc>
                <w:tcPr>
                  <w:tcW w:w="449" w:type="pct"/>
                  <w:noWrap w:val="0"/>
                  <w:vAlign w:val="top"/>
                </w:tcPr>
                <w:p w14:paraId="2E044864">
                  <w:pPr>
                    <w:widowControl w:val="0"/>
                    <w:numPr>
                      <w:ilvl w:val="0"/>
                      <w:numId w:val="0"/>
                    </w:numPr>
                    <w:ind w:left="440" w:leftChars="0" w:hanging="440" w:firstLineChars="0"/>
                    <w:jc w:val="center"/>
                    <w:textAlignment w:val="auto"/>
                    <w:rPr>
                      <w:rFonts w:hint="eastAsia" w:ascii="宋体" w:hAnsi="宋体" w:eastAsia="宋体" w:cs="宋体"/>
                      <w:bCs/>
                      <w:sz w:val="21"/>
                      <w:szCs w:val="21"/>
                    </w:rPr>
                  </w:pPr>
                  <w:r>
                    <w:rPr>
                      <w:rFonts w:hint="eastAsia" w:ascii="宋体" w:hAnsi="宋体" w:eastAsia="宋体" w:cs="宋体"/>
                      <w:bCs/>
                      <w:kern w:val="2"/>
                      <w:sz w:val="21"/>
                      <w:szCs w:val="21"/>
                      <w:lang w:val="en-US" w:eastAsia="zh-CN" w:bidi="ar-SA"/>
                    </w:rPr>
                    <w:t>7</w:t>
                  </w:r>
                </w:p>
              </w:tc>
              <w:tc>
                <w:tcPr>
                  <w:tcW w:w="813" w:type="pct"/>
                  <w:noWrap w:val="0"/>
                  <w:vAlign w:val="top"/>
                </w:tcPr>
                <w:p w14:paraId="019FE30F">
                  <w:pPr>
                    <w:jc w:val="center"/>
                    <w:rPr>
                      <w:rFonts w:hint="eastAsia" w:ascii="宋体" w:hAnsi="宋体" w:eastAsia="宋体" w:cs="宋体"/>
                      <w:b/>
                      <w:bCs/>
                      <w:sz w:val="21"/>
                      <w:szCs w:val="21"/>
                    </w:rPr>
                  </w:pPr>
                  <w:r>
                    <w:rPr>
                      <w:rFonts w:hint="eastAsia" w:ascii="宋体" w:hAnsi="宋体" w:eastAsia="宋体" w:cs="宋体"/>
                      <w:b/>
                      <w:bCs/>
                      <w:sz w:val="21"/>
                      <w:szCs w:val="21"/>
                    </w:rPr>
                    <w:t>标准接口</w:t>
                  </w:r>
                </w:p>
              </w:tc>
              <w:tc>
                <w:tcPr>
                  <w:tcW w:w="3736" w:type="pct"/>
                  <w:noWrap w:val="0"/>
                  <w:vAlign w:val="top"/>
                </w:tcPr>
                <w:p w14:paraId="4C3A7CA1">
                  <w:pPr>
                    <w:rPr>
                      <w:rFonts w:hint="eastAsia" w:ascii="宋体" w:hAnsi="宋体" w:eastAsia="宋体" w:cs="宋体"/>
                      <w:color w:val="auto"/>
                      <w:sz w:val="21"/>
                      <w:szCs w:val="21"/>
                    </w:rPr>
                  </w:pPr>
                  <w:r>
                    <w:rPr>
                      <w:rFonts w:hint="eastAsia" w:ascii="宋体" w:hAnsi="宋体" w:eastAsia="宋体" w:cs="宋体"/>
                      <w:color w:val="auto"/>
                      <w:sz w:val="21"/>
                      <w:szCs w:val="21"/>
                    </w:rPr>
                    <w:t xml:space="preserve">前置≥2个USB 3.2 接口，后置≥2个USB 3.1接口，≥1个VGA接口，≥1个RJ-45 Management LAN port管理接口,BMC管理芯片：Aspeed AST2500 64MB </w:t>
                  </w:r>
                </w:p>
              </w:tc>
            </w:tr>
            <w:tr w14:paraId="4E6E4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449" w:type="pct"/>
                  <w:noWrap w:val="0"/>
                  <w:vAlign w:val="top"/>
                </w:tcPr>
                <w:p w14:paraId="2095A1B2">
                  <w:pPr>
                    <w:widowControl w:val="0"/>
                    <w:numPr>
                      <w:ilvl w:val="0"/>
                      <w:numId w:val="0"/>
                    </w:numPr>
                    <w:ind w:left="440" w:leftChars="0" w:hanging="440" w:firstLineChars="0"/>
                    <w:jc w:val="center"/>
                    <w:textAlignment w:val="auto"/>
                    <w:rPr>
                      <w:rFonts w:hint="eastAsia" w:ascii="宋体" w:hAnsi="宋体" w:eastAsia="宋体" w:cs="宋体"/>
                      <w:bCs/>
                      <w:sz w:val="21"/>
                      <w:szCs w:val="21"/>
                    </w:rPr>
                  </w:pPr>
                  <w:r>
                    <w:rPr>
                      <w:rFonts w:hint="eastAsia" w:ascii="宋体" w:hAnsi="宋体" w:eastAsia="宋体" w:cs="宋体"/>
                      <w:bCs/>
                      <w:kern w:val="2"/>
                      <w:sz w:val="21"/>
                      <w:szCs w:val="21"/>
                      <w:lang w:val="en-US" w:eastAsia="zh-CN" w:bidi="ar-SA"/>
                    </w:rPr>
                    <w:t>8</w:t>
                  </w:r>
                </w:p>
              </w:tc>
              <w:tc>
                <w:tcPr>
                  <w:tcW w:w="813" w:type="pct"/>
                  <w:vMerge w:val="restart"/>
                  <w:noWrap w:val="0"/>
                  <w:vAlign w:val="top"/>
                </w:tcPr>
                <w:p w14:paraId="39A0DEAF">
                  <w:pPr>
                    <w:jc w:val="center"/>
                    <w:rPr>
                      <w:rFonts w:hint="eastAsia" w:ascii="宋体" w:hAnsi="宋体" w:eastAsia="宋体" w:cs="宋体"/>
                      <w:b/>
                      <w:bCs/>
                      <w:sz w:val="21"/>
                      <w:szCs w:val="21"/>
                    </w:rPr>
                  </w:pPr>
                  <w:r>
                    <w:rPr>
                      <w:rFonts w:hint="eastAsia" w:ascii="宋体" w:hAnsi="宋体" w:eastAsia="宋体" w:cs="宋体"/>
                      <w:b/>
                      <w:bCs/>
                      <w:sz w:val="21"/>
                      <w:szCs w:val="21"/>
                    </w:rPr>
                    <w:t>网络接口</w:t>
                  </w:r>
                </w:p>
              </w:tc>
              <w:tc>
                <w:tcPr>
                  <w:tcW w:w="3736" w:type="pct"/>
                  <w:noWrap w:val="0"/>
                  <w:vAlign w:val="top"/>
                </w:tcPr>
                <w:p w14:paraId="0F239C31">
                  <w:pPr>
                    <w:rPr>
                      <w:rFonts w:hint="eastAsia" w:ascii="宋体" w:hAnsi="宋体" w:eastAsia="宋体" w:cs="宋体"/>
                      <w:color w:val="auto"/>
                      <w:sz w:val="21"/>
                      <w:szCs w:val="21"/>
                      <w:lang w:val="en-US"/>
                    </w:rPr>
                  </w:pPr>
                  <w:r>
                    <w:rPr>
                      <w:rFonts w:hint="eastAsia" w:ascii="宋体" w:hAnsi="宋体" w:eastAsia="宋体" w:cs="宋体"/>
                      <w:color w:val="auto"/>
                      <w:sz w:val="21"/>
                      <w:szCs w:val="21"/>
                    </w:rPr>
                    <w:t>配置≥2个</w:t>
                  </w:r>
                  <w:r>
                    <w:rPr>
                      <w:rFonts w:hint="eastAsia" w:ascii="宋体" w:hAnsi="宋体" w:eastAsia="宋体" w:cs="宋体"/>
                      <w:color w:val="auto"/>
                      <w:sz w:val="21"/>
                      <w:szCs w:val="21"/>
                      <w:lang w:val="en-US" w:eastAsia="zh-CN"/>
                    </w:rPr>
                    <w:t>千兆网络电口</w:t>
                  </w:r>
                </w:p>
              </w:tc>
            </w:tr>
            <w:tr w14:paraId="456A0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449" w:type="pct"/>
                  <w:noWrap w:val="0"/>
                  <w:vAlign w:val="top"/>
                </w:tcPr>
                <w:p w14:paraId="37D356CB">
                  <w:pPr>
                    <w:widowControl w:val="0"/>
                    <w:numPr>
                      <w:ilvl w:val="0"/>
                      <w:numId w:val="0"/>
                    </w:numPr>
                    <w:ind w:left="440" w:leftChars="0" w:hanging="440" w:firstLineChars="0"/>
                    <w:jc w:val="center"/>
                    <w:textAlignment w:val="auto"/>
                    <w:rPr>
                      <w:rFonts w:hint="eastAsia" w:ascii="宋体" w:hAnsi="宋体" w:eastAsia="宋体" w:cs="宋体"/>
                      <w:bCs/>
                      <w:sz w:val="21"/>
                      <w:szCs w:val="21"/>
                    </w:rPr>
                  </w:pPr>
                  <w:r>
                    <w:rPr>
                      <w:rFonts w:hint="eastAsia" w:ascii="宋体" w:hAnsi="宋体" w:eastAsia="宋体" w:cs="宋体"/>
                      <w:bCs/>
                      <w:kern w:val="2"/>
                      <w:sz w:val="21"/>
                      <w:szCs w:val="21"/>
                      <w:lang w:val="en-US" w:eastAsia="zh-CN" w:bidi="ar-SA"/>
                    </w:rPr>
                    <w:t>9</w:t>
                  </w:r>
                </w:p>
              </w:tc>
              <w:tc>
                <w:tcPr>
                  <w:tcW w:w="813" w:type="pct"/>
                  <w:vMerge w:val="continue"/>
                  <w:noWrap w:val="0"/>
                  <w:vAlign w:val="top"/>
                </w:tcPr>
                <w:p w14:paraId="1FAD9C4E">
                  <w:pPr>
                    <w:jc w:val="center"/>
                    <w:rPr>
                      <w:rFonts w:hint="eastAsia" w:ascii="宋体" w:hAnsi="宋体" w:eastAsia="宋体" w:cs="宋体"/>
                      <w:b/>
                      <w:bCs/>
                      <w:sz w:val="21"/>
                      <w:szCs w:val="21"/>
                    </w:rPr>
                  </w:pPr>
                </w:p>
              </w:tc>
              <w:tc>
                <w:tcPr>
                  <w:tcW w:w="3736" w:type="pct"/>
                  <w:noWrap w:val="0"/>
                  <w:vAlign w:val="top"/>
                </w:tcPr>
                <w:p w14:paraId="42F0135B">
                  <w:pPr>
                    <w:rPr>
                      <w:rFonts w:hint="eastAsia" w:ascii="宋体" w:hAnsi="宋体" w:eastAsia="宋体" w:cs="宋体"/>
                      <w:color w:val="auto"/>
                      <w:sz w:val="21"/>
                      <w:szCs w:val="21"/>
                    </w:rPr>
                  </w:pPr>
                  <w:r>
                    <w:rPr>
                      <w:rFonts w:hint="eastAsia" w:ascii="宋体" w:hAnsi="宋体" w:eastAsia="宋体" w:cs="宋体"/>
                      <w:color w:val="auto"/>
                      <w:sz w:val="21"/>
                      <w:szCs w:val="21"/>
                    </w:rPr>
                    <w:t xml:space="preserve">配置≥2个10Gb网口(含多模光模块) </w:t>
                  </w:r>
                </w:p>
              </w:tc>
            </w:tr>
            <w:tr w14:paraId="294E6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49" w:type="pct"/>
                  <w:noWrap w:val="0"/>
                  <w:vAlign w:val="top"/>
                </w:tcPr>
                <w:p w14:paraId="26DBCE97">
                  <w:pPr>
                    <w:widowControl w:val="0"/>
                    <w:numPr>
                      <w:ilvl w:val="0"/>
                      <w:numId w:val="0"/>
                    </w:numPr>
                    <w:ind w:left="440" w:leftChars="0" w:hanging="440" w:firstLineChars="0"/>
                    <w:jc w:val="center"/>
                    <w:textAlignment w:val="auto"/>
                    <w:rPr>
                      <w:rFonts w:hint="eastAsia" w:ascii="宋体" w:hAnsi="宋体" w:eastAsia="宋体" w:cs="宋体"/>
                      <w:bCs/>
                      <w:sz w:val="21"/>
                      <w:szCs w:val="21"/>
                    </w:rPr>
                  </w:pPr>
                  <w:r>
                    <w:rPr>
                      <w:rFonts w:hint="eastAsia" w:ascii="宋体" w:hAnsi="宋体" w:eastAsia="宋体" w:cs="宋体"/>
                      <w:bCs/>
                      <w:kern w:val="2"/>
                      <w:sz w:val="21"/>
                      <w:szCs w:val="21"/>
                      <w:lang w:val="en-US" w:eastAsia="zh-CN" w:bidi="ar-SA"/>
                    </w:rPr>
                    <w:t>10</w:t>
                  </w:r>
                </w:p>
              </w:tc>
              <w:tc>
                <w:tcPr>
                  <w:tcW w:w="813" w:type="pct"/>
                  <w:noWrap w:val="0"/>
                  <w:vAlign w:val="top"/>
                </w:tcPr>
                <w:p w14:paraId="48D9D48E">
                  <w:pPr>
                    <w:jc w:val="center"/>
                    <w:rPr>
                      <w:rFonts w:hint="eastAsia" w:ascii="宋体" w:hAnsi="宋体" w:eastAsia="宋体" w:cs="宋体"/>
                      <w:b/>
                      <w:bCs/>
                      <w:sz w:val="21"/>
                      <w:szCs w:val="21"/>
                    </w:rPr>
                  </w:pPr>
                  <w:r>
                    <w:rPr>
                      <w:rFonts w:hint="eastAsia" w:ascii="宋体" w:hAnsi="宋体" w:eastAsia="宋体" w:cs="宋体"/>
                      <w:b/>
                      <w:bCs/>
                      <w:sz w:val="21"/>
                      <w:szCs w:val="21"/>
                    </w:rPr>
                    <w:t>I/O扩展槽</w:t>
                  </w:r>
                </w:p>
              </w:tc>
              <w:tc>
                <w:tcPr>
                  <w:tcW w:w="3736" w:type="pct"/>
                  <w:noWrap w:val="0"/>
                  <w:vAlign w:val="top"/>
                </w:tcPr>
                <w:p w14:paraId="5BCF2A50">
                  <w:pP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最大支持≥9个PCIE5.0插槽</w:t>
                  </w:r>
                </w:p>
              </w:tc>
            </w:tr>
            <w:tr w14:paraId="53A10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49" w:type="pct"/>
                  <w:noWrap w:val="0"/>
                  <w:vAlign w:val="top"/>
                </w:tcPr>
                <w:p w14:paraId="7DAF87BE">
                  <w:pPr>
                    <w:widowControl w:val="0"/>
                    <w:numPr>
                      <w:ilvl w:val="0"/>
                      <w:numId w:val="0"/>
                    </w:numPr>
                    <w:ind w:left="440" w:leftChars="0" w:hanging="440" w:firstLineChars="0"/>
                    <w:jc w:val="center"/>
                    <w:textAlignment w:val="auto"/>
                    <w:rPr>
                      <w:rFonts w:hint="eastAsia" w:ascii="宋体" w:hAnsi="宋体" w:eastAsia="宋体" w:cs="宋体"/>
                      <w:bCs/>
                      <w:sz w:val="21"/>
                      <w:szCs w:val="21"/>
                    </w:rPr>
                  </w:pPr>
                  <w:r>
                    <w:rPr>
                      <w:rFonts w:hint="eastAsia" w:ascii="宋体" w:hAnsi="宋体" w:eastAsia="宋体" w:cs="宋体"/>
                      <w:bCs/>
                      <w:kern w:val="2"/>
                      <w:sz w:val="21"/>
                      <w:szCs w:val="21"/>
                      <w:lang w:val="en-US" w:eastAsia="zh-CN" w:bidi="ar-SA"/>
                    </w:rPr>
                    <w:t>11</w:t>
                  </w:r>
                </w:p>
              </w:tc>
              <w:tc>
                <w:tcPr>
                  <w:tcW w:w="813" w:type="pct"/>
                  <w:noWrap w:val="0"/>
                  <w:vAlign w:val="top"/>
                </w:tcPr>
                <w:p w14:paraId="106A5A50">
                  <w:pPr>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其他</w:t>
                  </w:r>
                </w:p>
              </w:tc>
              <w:tc>
                <w:tcPr>
                  <w:tcW w:w="3736" w:type="pct"/>
                  <w:noWrap w:val="0"/>
                  <w:vAlign w:val="top"/>
                </w:tcPr>
                <w:p w14:paraId="157CF828">
                  <w:pPr>
                    <w:rPr>
                      <w:rFonts w:hint="eastAsia" w:ascii="宋体" w:hAnsi="宋体" w:eastAsia="宋体" w:cs="宋体"/>
                      <w:color w:val="auto"/>
                      <w:sz w:val="21"/>
                      <w:szCs w:val="21"/>
                    </w:rPr>
                  </w:pPr>
                  <w:r>
                    <w:rPr>
                      <w:rFonts w:hint="eastAsia" w:ascii="宋体" w:hAnsi="宋体" w:eastAsia="宋体" w:cs="宋体"/>
                      <w:color w:val="auto"/>
                      <w:sz w:val="21"/>
                      <w:szCs w:val="21"/>
                    </w:rPr>
                    <w:t>最大支持≥4张双宽GPU</w:t>
                  </w:r>
                </w:p>
              </w:tc>
            </w:tr>
            <w:tr w14:paraId="250DB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449" w:type="pct"/>
                  <w:noWrap w:val="0"/>
                  <w:vAlign w:val="top"/>
                </w:tcPr>
                <w:p w14:paraId="20787269">
                  <w:pPr>
                    <w:widowControl w:val="0"/>
                    <w:numPr>
                      <w:ilvl w:val="0"/>
                      <w:numId w:val="0"/>
                    </w:numPr>
                    <w:ind w:left="440" w:leftChars="0" w:hanging="440" w:firstLineChars="0"/>
                    <w:jc w:val="center"/>
                    <w:textAlignment w:val="auto"/>
                    <w:rPr>
                      <w:rFonts w:hint="eastAsia" w:ascii="宋体" w:hAnsi="宋体" w:eastAsia="宋体" w:cs="宋体"/>
                      <w:bCs/>
                      <w:sz w:val="21"/>
                      <w:szCs w:val="21"/>
                    </w:rPr>
                  </w:pPr>
                  <w:r>
                    <w:rPr>
                      <w:rFonts w:hint="eastAsia" w:ascii="宋体" w:hAnsi="宋体" w:eastAsia="宋体" w:cs="宋体"/>
                      <w:bCs/>
                      <w:kern w:val="2"/>
                      <w:sz w:val="21"/>
                      <w:szCs w:val="21"/>
                      <w:lang w:val="en-US" w:eastAsia="zh-CN" w:bidi="ar-SA"/>
                    </w:rPr>
                    <w:t>12</w:t>
                  </w:r>
                </w:p>
              </w:tc>
              <w:tc>
                <w:tcPr>
                  <w:tcW w:w="813" w:type="pct"/>
                  <w:noWrap w:val="0"/>
                  <w:vAlign w:val="top"/>
                </w:tcPr>
                <w:p w14:paraId="76AB8398">
                  <w:pPr>
                    <w:jc w:val="center"/>
                    <w:rPr>
                      <w:rFonts w:hint="eastAsia" w:ascii="宋体" w:hAnsi="宋体" w:eastAsia="宋体" w:cs="宋体"/>
                      <w:b/>
                      <w:bCs/>
                      <w:sz w:val="21"/>
                      <w:szCs w:val="21"/>
                    </w:rPr>
                  </w:pPr>
                  <w:r>
                    <w:rPr>
                      <w:rFonts w:hint="eastAsia" w:ascii="宋体" w:hAnsi="宋体" w:eastAsia="宋体" w:cs="宋体"/>
                      <w:b/>
                      <w:bCs/>
                      <w:sz w:val="21"/>
                      <w:szCs w:val="21"/>
                    </w:rPr>
                    <w:t>电源</w:t>
                  </w:r>
                </w:p>
              </w:tc>
              <w:tc>
                <w:tcPr>
                  <w:tcW w:w="3736" w:type="pct"/>
                  <w:noWrap w:val="0"/>
                  <w:vAlign w:val="top"/>
                </w:tcPr>
                <w:p w14:paraId="2A94816E">
                  <w:pPr>
                    <w:rPr>
                      <w:rFonts w:hint="eastAsia" w:ascii="宋体" w:hAnsi="宋体" w:eastAsia="宋体" w:cs="宋体"/>
                      <w:color w:val="auto"/>
                      <w:sz w:val="21"/>
                      <w:szCs w:val="21"/>
                      <w:lang w:val="en-US"/>
                    </w:rPr>
                  </w:pPr>
                  <w:r>
                    <w:rPr>
                      <w:rFonts w:hint="eastAsia" w:ascii="宋体" w:hAnsi="宋体" w:eastAsia="宋体" w:cs="宋体"/>
                      <w:color w:val="auto"/>
                      <w:sz w:val="21"/>
                      <w:szCs w:val="21"/>
                    </w:rPr>
                    <w:t>配置1+1冗余电源，电源模块额定功率≥1600W</w:t>
                  </w:r>
                  <w:r>
                    <w:rPr>
                      <w:rFonts w:hint="eastAsia" w:ascii="宋体" w:hAnsi="宋体" w:eastAsia="宋体" w:cs="宋体"/>
                      <w:color w:val="auto"/>
                      <w:sz w:val="21"/>
                      <w:szCs w:val="21"/>
                      <w:lang w:eastAsia="zh-CN"/>
                    </w:rPr>
                    <w:t>，配置≥2个</w:t>
                  </w:r>
                  <w:r>
                    <w:rPr>
                      <w:rFonts w:hint="eastAsia" w:ascii="宋体" w:hAnsi="宋体" w:eastAsia="宋体" w:cs="宋体"/>
                      <w:color w:val="auto"/>
                      <w:sz w:val="21"/>
                      <w:szCs w:val="21"/>
                      <w:lang w:val="en-US" w:eastAsia="zh-CN"/>
                    </w:rPr>
                    <w:t>电源</w:t>
                  </w:r>
                </w:p>
              </w:tc>
            </w:tr>
            <w:tr w14:paraId="4400E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449" w:type="pct"/>
                  <w:noWrap w:val="0"/>
                  <w:vAlign w:val="top"/>
                </w:tcPr>
                <w:p w14:paraId="09492D6C">
                  <w:pPr>
                    <w:widowControl w:val="0"/>
                    <w:numPr>
                      <w:ilvl w:val="0"/>
                      <w:numId w:val="0"/>
                    </w:numPr>
                    <w:ind w:left="440" w:leftChars="0" w:hanging="440" w:firstLineChars="0"/>
                    <w:jc w:val="center"/>
                    <w:textAlignment w:val="auto"/>
                    <w:rPr>
                      <w:rFonts w:hint="eastAsia" w:ascii="宋体" w:hAnsi="宋体" w:eastAsia="宋体" w:cs="宋体"/>
                      <w:bCs/>
                      <w:sz w:val="21"/>
                      <w:szCs w:val="21"/>
                    </w:rPr>
                  </w:pPr>
                  <w:r>
                    <w:rPr>
                      <w:rFonts w:hint="eastAsia" w:ascii="宋体" w:hAnsi="宋体" w:eastAsia="宋体" w:cs="宋体"/>
                      <w:bCs/>
                      <w:kern w:val="2"/>
                      <w:sz w:val="21"/>
                      <w:szCs w:val="21"/>
                      <w:lang w:val="en-US" w:eastAsia="zh-CN" w:bidi="ar-SA"/>
                    </w:rPr>
                    <w:t>13</w:t>
                  </w:r>
                </w:p>
              </w:tc>
              <w:tc>
                <w:tcPr>
                  <w:tcW w:w="813" w:type="pct"/>
                  <w:noWrap w:val="0"/>
                  <w:vAlign w:val="top"/>
                </w:tcPr>
                <w:p w14:paraId="34976A5B">
                  <w:pPr>
                    <w:jc w:val="center"/>
                    <w:rPr>
                      <w:rFonts w:hint="eastAsia" w:ascii="宋体" w:hAnsi="宋体" w:eastAsia="宋体" w:cs="宋体"/>
                      <w:b/>
                      <w:bCs/>
                      <w:sz w:val="21"/>
                      <w:szCs w:val="21"/>
                    </w:rPr>
                  </w:pPr>
                  <w:r>
                    <w:rPr>
                      <w:rFonts w:hint="eastAsia" w:ascii="宋体" w:hAnsi="宋体" w:eastAsia="宋体" w:cs="宋体"/>
                      <w:b/>
                      <w:bCs/>
                      <w:sz w:val="21"/>
                      <w:szCs w:val="21"/>
                    </w:rPr>
                    <w:t>管理功能</w:t>
                  </w:r>
                </w:p>
              </w:tc>
              <w:tc>
                <w:tcPr>
                  <w:tcW w:w="3736" w:type="pct"/>
                  <w:noWrap w:val="0"/>
                  <w:vAlign w:val="top"/>
                </w:tcPr>
                <w:p w14:paraId="00723D29">
                  <w:pP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支持KVM功能，支持远程控制服务器开关机，虚拟设备挂载</w:t>
                  </w:r>
                </w:p>
              </w:tc>
            </w:tr>
            <w:tr w14:paraId="24D99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449" w:type="pct"/>
                  <w:noWrap w:val="0"/>
                  <w:vAlign w:val="top"/>
                </w:tcPr>
                <w:p w14:paraId="63E23ABA">
                  <w:pPr>
                    <w:widowControl w:val="0"/>
                    <w:numPr>
                      <w:ilvl w:val="0"/>
                      <w:numId w:val="0"/>
                    </w:numPr>
                    <w:ind w:leftChars="0"/>
                    <w:jc w:val="center"/>
                    <w:textAlignment w:val="auto"/>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14</w:t>
                  </w:r>
                </w:p>
              </w:tc>
              <w:tc>
                <w:tcPr>
                  <w:tcW w:w="813" w:type="pct"/>
                  <w:noWrap w:val="0"/>
                  <w:vAlign w:val="center"/>
                </w:tcPr>
                <w:p w14:paraId="240BD6FC">
                  <w:pPr>
                    <w:jc w:val="center"/>
                    <w:rPr>
                      <w:rFonts w:hint="eastAsia" w:ascii="宋体" w:hAnsi="宋体" w:eastAsia="宋体" w:cs="宋体"/>
                      <w:b/>
                      <w:bCs/>
                      <w:sz w:val="21"/>
                      <w:szCs w:val="21"/>
                    </w:rPr>
                  </w:pPr>
                  <w:r>
                    <w:rPr>
                      <w:rFonts w:hint="eastAsia" w:ascii="宋体" w:hAnsi="宋体" w:eastAsia="宋体" w:cs="宋体"/>
                      <w:b/>
                      <w:bCs/>
                      <w:sz w:val="21"/>
                      <w:szCs w:val="21"/>
                    </w:rPr>
                    <w:t>服务</w:t>
                  </w:r>
                </w:p>
              </w:tc>
              <w:tc>
                <w:tcPr>
                  <w:tcW w:w="3736" w:type="pct"/>
                  <w:noWrap w:val="0"/>
                  <w:vAlign w:val="center"/>
                </w:tcPr>
                <w:p w14:paraId="09250C96">
                  <w:pPr>
                    <w:rPr>
                      <w:rFonts w:hint="eastAsia" w:ascii="宋体" w:hAnsi="宋体" w:eastAsia="宋体" w:cs="宋体"/>
                      <w:color w:val="auto"/>
                      <w:sz w:val="21"/>
                      <w:szCs w:val="21"/>
                    </w:rPr>
                  </w:pPr>
                  <w:r>
                    <w:rPr>
                      <w:rFonts w:hint="eastAsia" w:ascii="宋体" w:hAnsi="宋体" w:eastAsia="宋体" w:cs="宋体"/>
                      <w:color w:val="auto"/>
                      <w:kern w:val="0"/>
                      <w:sz w:val="21"/>
                      <w:szCs w:val="21"/>
                    </w:rPr>
                    <w:t>提供原厂5年维保服务，提供原厂授权文件和售后服务承诺函</w:t>
                  </w:r>
                </w:p>
              </w:tc>
            </w:tr>
          </w:tbl>
          <w:p w14:paraId="07E452E5">
            <w:pPr>
              <w:pStyle w:val="18"/>
              <w:numPr>
                <w:ilvl w:val="0"/>
                <w:numId w:val="1"/>
              </w:numPr>
              <w:spacing w:line="360" w:lineRule="auto"/>
              <w:ind w:firstLineChars="0"/>
              <w:rPr>
                <w:rFonts w:hint="eastAsia" w:ascii="宋体" w:hAnsi="宋体" w:cs="宋体"/>
                <w:b/>
                <w:bCs/>
                <w:szCs w:val="21"/>
                <w:lang w:val="en-US" w:eastAsia="zh-CN"/>
              </w:rPr>
            </w:pPr>
            <w:r>
              <w:rPr>
                <w:rFonts w:hint="eastAsia" w:ascii="宋体" w:hAnsi="宋体" w:cs="宋体"/>
                <w:b/>
                <w:bCs/>
                <w:szCs w:val="21"/>
                <w:lang w:val="en-US" w:eastAsia="zh-CN"/>
              </w:rPr>
              <w:t>项目整体技术要求</w:t>
            </w:r>
          </w:p>
          <w:p w14:paraId="07BC8042">
            <w:pPr>
              <w:pStyle w:val="18"/>
              <w:numPr>
                <w:ilvl w:val="0"/>
                <w:numId w:val="1"/>
              </w:numPr>
              <w:spacing w:line="360" w:lineRule="auto"/>
              <w:ind w:firstLineChars="0"/>
              <w:rPr>
                <w:rFonts w:hint="eastAsia" w:ascii="宋体" w:hAnsi="宋体" w:cs="宋体"/>
                <w:b/>
                <w:bCs/>
                <w:szCs w:val="21"/>
                <w:lang w:val="en-US" w:eastAsia="zh-CN"/>
              </w:rPr>
            </w:pPr>
            <w:r>
              <w:rPr>
                <w:rFonts w:hint="eastAsia" w:ascii="宋体" w:hAnsi="宋体" w:cs="宋体"/>
                <w:b/>
                <w:bCs/>
                <w:szCs w:val="21"/>
                <w:lang w:val="en-US" w:eastAsia="zh-CN"/>
              </w:rPr>
              <w:t>售后保障</w:t>
            </w:r>
          </w:p>
          <w:p w14:paraId="419AE74F">
            <w:pPr>
              <w:pStyle w:val="18"/>
              <w:numPr>
                <w:ilvl w:val="0"/>
                <w:numId w:val="3"/>
              </w:numPr>
              <w:spacing w:line="360" w:lineRule="auto"/>
              <w:ind w:left="0" w:firstLine="420"/>
              <w:rPr>
                <w:rFonts w:hint="eastAsia" w:ascii="宋体" w:hAnsi="宋体"/>
                <w:szCs w:val="21"/>
              </w:rPr>
            </w:pPr>
            <w:r>
              <w:rPr>
                <w:rFonts w:hint="eastAsia" w:ascii="宋体" w:hAnsi="宋体"/>
                <w:szCs w:val="21"/>
              </w:rPr>
              <w:t>保修期限：乙方承诺本合同项下货物的免费保修期为不低于</w:t>
            </w:r>
            <w:r>
              <w:rPr>
                <w:rFonts w:hint="eastAsia" w:ascii="宋体" w:hAnsi="宋体"/>
                <w:szCs w:val="21"/>
                <w:lang w:val="en-US" w:eastAsia="zh-CN"/>
              </w:rPr>
              <w:t>伍</w:t>
            </w:r>
            <w:r>
              <w:rPr>
                <w:rFonts w:hint="eastAsia" w:ascii="宋体" w:hAnsi="宋体"/>
                <w:szCs w:val="21"/>
              </w:rPr>
              <w:t>年。</w:t>
            </w:r>
          </w:p>
          <w:p w14:paraId="6EA88881">
            <w:pPr>
              <w:pStyle w:val="18"/>
              <w:numPr>
                <w:ilvl w:val="0"/>
                <w:numId w:val="3"/>
              </w:numPr>
              <w:spacing w:line="360" w:lineRule="auto"/>
              <w:ind w:left="0" w:firstLine="420"/>
              <w:rPr>
                <w:rFonts w:hint="eastAsia" w:ascii="宋体" w:hAnsi="宋体"/>
                <w:szCs w:val="21"/>
              </w:rPr>
            </w:pPr>
            <w:r>
              <w:rPr>
                <w:rFonts w:hint="eastAsia" w:ascii="宋体" w:hAnsi="宋体"/>
                <w:szCs w:val="21"/>
              </w:rPr>
              <w:t>保修方式：远程及现场技术支持服务。其他条款以投标文件承诺的为准。</w:t>
            </w:r>
          </w:p>
          <w:p w14:paraId="741D8B44">
            <w:pPr>
              <w:pStyle w:val="18"/>
              <w:numPr>
                <w:ilvl w:val="0"/>
                <w:numId w:val="3"/>
              </w:numPr>
              <w:spacing w:line="360" w:lineRule="auto"/>
              <w:ind w:left="0" w:firstLine="420"/>
              <w:rPr>
                <w:rFonts w:hint="eastAsia" w:ascii="宋体" w:hAnsi="宋体"/>
                <w:szCs w:val="21"/>
              </w:rPr>
            </w:pPr>
            <w:r>
              <w:rPr>
                <w:rFonts w:hint="eastAsia" w:ascii="宋体" w:hAnsi="宋体"/>
                <w:szCs w:val="21"/>
              </w:rPr>
              <w:t>免费保修期届满后，如甲方仍然需要乙方继续提供维护服务，服务费最高不得超过本合同金额的8%。</w:t>
            </w:r>
          </w:p>
          <w:p w14:paraId="1E0281CC">
            <w:pPr>
              <w:pStyle w:val="18"/>
              <w:numPr>
                <w:ilvl w:val="0"/>
                <w:numId w:val="1"/>
              </w:numPr>
              <w:spacing w:line="360" w:lineRule="auto"/>
              <w:ind w:firstLineChars="0"/>
              <w:rPr>
                <w:rFonts w:ascii="宋体" w:hAnsi="宋体" w:cs="宋体"/>
                <w:b/>
                <w:bCs/>
                <w:szCs w:val="21"/>
              </w:rPr>
            </w:pPr>
            <w:r>
              <w:rPr>
                <w:rFonts w:hint="eastAsia" w:ascii="宋体" w:hAnsi="宋体" w:cs="宋体"/>
                <w:b/>
                <w:bCs/>
                <w:szCs w:val="21"/>
              </w:rPr>
              <w:t>服务地点</w:t>
            </w:r>
          </w:p>
          <w:p w14:paraId="6D49EC7B">
            <w:pPr>
              <w:pStyle w:val="6"/>
              <w:spacing w:line="240" w:lineRule="auto"/>
              <w:ind w:left="0" w:leftChars="0" w:right="1470" w:firstLine="420" w:firstLineChars="200"/>
              <w:rPr>
                <w:rFonts w:ascii="宋体" w:hAnsi="宋体" w:cs="宋体"/>
                <w:szCs w:val="21"/>
              </w:rPr>
            </w:pPr>
            <w:r>
              <w:rPr>
                <w:rFonts w:hint="eastAsia" w:ascii="宋体" w:hAnsi="宋体" w:eastAsia="宋体" w:cs="宋体"/>
                <w:bCs/>
                <w:szCs w:val="21"/>
              </w:rPr>
              <w:t>上海外国语大学松江校区。</w:t>
            </w:r>
          </w:p>
        </w:tc>
      </w:tr>
      <w:tr w14:paraId="1BBBF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1555" w:type="dxa"/>
            <w:vAlign w:val="center"/>
          </w:tcPr>
          <w:p w14:paraId="16877464">
            <w:pPr>
              <w:spacing w:line="360" w:lineRule="auto"/>
              <w:jc w:val="center"/>
              <w:rPr>
                <w:rFonts w:ascii="宋体" w:hAnsi="宋体"/>
                <w:b/>
                <w:szCs w:val="21"/>
              </w:rPr>
            </w:pPr>
            <w:r>
              <w:rPr>
                <w:rFonts w:hint="eastAsia" w:ascii="宋体" w:hAnsi="宋体"/>
                <w:b/>
                <w:szCs w:val="21"/>
              </w:rPr>
              <w:t>支付方式</w:t>
            </w:r>
          </w:p>
        </w:tc>
        <w:tc>
          <w:tcPr>
            <w:tcW w:w="7925" w:type="dxa"/>
            <w:gridSpan w:val="3"/>
            <w:vAlign w:val="center"/>
          </w:tcPr>
          <w:p w14:paraId="6588CEEE">
            <w:pPr>
              <w:spacing w:line="360" w:lineRule="auto"/>
              <w:rPr>
                <w:rFonts w:ascii="宋体" w:hAnsi="宋体" w:cs="宋体"/>
                <w:bCs/>
                <w:szCs w:val="21"/>
              </w:rPr>
            </w:pPr>
            <w:r>
              <w:rPr>
                <w:rFonts w:hint="eastAsia" w:ascii="宋体" w:hAnsi="宋体" w:cs="宋体"/>
                <w:b/>
                <w:bCs/>
                <w:szCs w:val="21"/>
              </w:rPr>
              <w:t>分两期付款</w:t>
            </w:r>
            <w:r>
              <w:rPr>
                <w:rFonts w:hint="eastAsia" w:ascii="宋体" w:hAnsi="宋体" w:cs="宋体"/>
                <w:bCs/>
                <w:szCs w:val="21"/>
              </w:rPr>
              <w:t>：</w:t>
            </w:r>
          </w:p>
          <w:p w14:paraId="4C777FEA">
            <w:pPr>
              <w:spacing w:line="360" w:lineRule="auto"/>
              <w:rPr>
                <w:rFonts w:ascii="宋体" w:hAnsi="宋体" w:cs="宋体"/>
                <w:bCs/>
                <w:szCs w:val="21"/>
              </w:rPr>
            </w:pPr>
            <w:r>
              <w:rPr>
                <w:rFonts w:hint="eastAsia" w:ascii="宋体" w:hAnsi="宋体" w:cs="宋体"/>
                <w:bCs/>
                <w:szCs w:val="21"/>
              </w:rPr>
              <w:t>第一期付款：该笔付款为合同价款的40%（百分之肆拾），初验后15（拾伍）个工作日内甲方向乙方支付。</w:t>
            </w:r>
          </w:p>
          <w:p w14:paraId="1F730CBA">
            <w:pPr>
              <w:spacing w:line="360" w:lineRule="auto"/>
              <w:rPr>
                <w:rFonts w:ascii="宋体" w:hAnsi="宋体"/>
                <w:b/>
                <w:szCs w:val="21"/>
              </w:rPr>
            </w:pPr>
            <w:r>
              <w:rPr>
                <w:rFonts w:hint="eastAsia" w:ascii="宋体" w:hAnsi="宋体" w:cs="宋体"/>
                <w:bCs/>
                <w:szCs w:val="21"/>
              </w:rPr>
              <w:t>第二期付款：该笔付款为安装调试完毕，正常使用并通过项目最终验收（自验收报告签字）后15（拾伍）个工作日内，甲方向乙方支付合同价款的60%（百分之陆拾）。</w:t>
            </w:r>
          </w:p>
        </w:tc>
      </w:tr>
    </w:tbl>
    <w:p w14:paraId="142A6CE5"/>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
    <w:altName w:val="Segoe Print"/>
    <w:panose1 w:val="00000000000000000000"/>
    <w:charset w:val="00"/>
    <w:family w:val="auto"/>
    <w:pitch w:val="default"/>
    <w:sig w:usb0="00000000" w:usb1="00000000" w:usb2="00000000" w:usb3="00000000" w:csb0="0000019F"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A86794"/>
    <w:multiLevelType w:val="singleLevel"/>
    <w:tmpl w:val="9EA86794"/>
    <w:lvl w:ilvl="0" w:tentative="0">
      <w:start w:val="1"/>
      <w:numFmt w:val="decimal"/>
      <w:suff w:val="space"/>
      <w:lvlText w:val="%1."/>
      <w:lvlJc w:val="left"/>
    </w:lvl>
  </w:abstractNum>
  <w:abstractNum w:abstractNumId="1">
    <w:nsid w:val="36D66C9A"/>
    <w:multiLevelType w:val="multilevel"/>
    <w:tmpl w:val="36D66C9A"/>
    <w:lvl w:ilvl="0" w:tentative="0">
      <w:start w:val="1"/>
      <w:numFmt w:val="chineseCountingThousand"/>
      <w:suff w:val="space"/>
      <w:lvlText w:val="%1、"/>
      <w:lvlJc w:val="left"/>
      <w:pPr>
        <w:ind w:left="982" w:hanging="420"/>
      </w:pPr>
      <w:rPr>
        <w:rFonts w:hint="eastAsia"/>
      </w:rPr>
    </w:lvl>
    <w:lvl w:ilvl="1" w:tentative="0">
      <w:start w:val="1"/>
      <w:numFmt w:val="lowerLetter"/>
      <w:lvlText w:val="%2)"/>
      <w:lvlJc w:val="left"/>
      <w:pPr>
        <w:ind w:left="1402" w:hanging="420"/>
      </w:pPr>
    </w:lvl>
    <w:lvl w:ilvl="2" w:tentative="0">
      <w:start w:val="1"/>
      <w:numFmt w:val="lowerRoman"/>
      <w:lvlText w:val="%3."/>
      <w:lvlJc w:val="right"/>
      <w:pPr>
        <w:ind w:left="1822" w:hanging="420"/>
      </w:pPr>
    </w:lvl>
    <w:lvl w:ilvl="3" w:tentative="0">
      <w:start w:val="1"/>
      <w:numFmt w:val="decimal"/>
      <w:lvlText w:val="%4."/>
      <w:lvlJc w:val="left"/>
      <w:pPr>
        <w:ind w:left="2242" w:hanging="420"/>
      </w:pPr>
    </w:lvl>
    <w:lvl w:ilvl="4" w:tentative="0">
      <w:start w:val="1"/>
      <w:numFmt w:val="lowerLetter"/>
      <w:lvlText w:val="%5)"/>
      <w:lvlJc w:val="left"/>
      <w:pPr>
        <w:ind w:left="2662" w:hanging="420"/>
      </w:pPr>
    </w:lvl>
    <w:lvl w:ilvl="5" w:tentative="0">
      <w:start w:val="1"/>
      <w:numFmt w:val="lowerRoman"/>
      <w:lvlText w:val="%6."/>
      <w:lvlJc w:val="right"/>
      <w:pPr>
        <w:ind w:left="3082" w:hanging="420"/>
      </w:pPr>
    </w:lvl>
    <w:lvl w:ilvl="6" w:tentative="0">
      <w:start w:val="1"/>
      <w:numFmt w:val="decimal"/>
      <w:lvlText w:val="%7."/>
      <w:lvlJc w:val="left"/>
      <w:pPr>
        <w:ind w:left="3502" w:hanging="420"/>
      </w:pPr>
    </w:lvl>
    <w:lvl w:ilvl="7" w:tentative="0">
      <w:start w:val="1"/>
      <w:numFmt w:val="lowerLetter"/>
      <w:lvlText w:val="%8)"/>
      <w:lvlJc w:val="left"/>
      <w:pPr>
        <w:ind w:left="3922" w:hanging="420"/>
      </w:pPr>
    </w:lvl>
    <w:lvl w:ilvl="8" w:tentative="0">
      <w:start w:val="1"/>
      <w:numFmt w:val="lowerRoman"/>
      <w:lvlText w:val="%9."/>
      <w:lvlJc w:val="right"/>
      <w:pPr>
        <w:ind w:left="4342" w:hanging="420"/>
      </w:pPr>
    </w:lvl>
  </w:abstractNum>
  <w:abstractNum w:abstractNumId="2">
    <w:nsid w:val="79230779"/>
    <w:multiLevelType w:val="multilevel"/>
    <w:tmpl w:val="79230779"/>
    <w:lvl w:ilvl="0" w:tentative="0">
      <w:start w:val="1"/>
      <w:numFmt w:val="decimal"/>
      <w:suff w:val="space"/>
      <w:lvlText w:val="%1."/>
      <w:lvlJc w:val="left"/>
      <w:pPr>
        <w:ind w:left="420" w:hanging="420"/>
      </w:pPr>
      <w:rPr>
        <w:rFonts w:hint="eastAsia"/>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BE063BC"/>
    <w:rsid w:val="1BFEA06A"/>
    <w:rsid w:val="315F5340"/>
    <w:rsid w:val="33FA13D4"/>
    <w:rsid w:val="37CB5715"/>
    <w:rsid w:val="38837AD3"/>
    <w:rsid w:val="3D3C4CBC"/>
    <w:rsid w:val="3EB75CEC"/>
    <w:rsid w:val="480955DC"/>
    <w:rsid w:val="54116416"/>
    <w:rsid w:val="62700E0F"/>
    <w:rsid w:val="76BE7418"/>
    <w:rsid w:val="7A39634E"/>
    <w:rsid w:val="7DBF9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15">
    <w:name w:val="Default Paragraph Font"/>
    <w:unhideWhenUsed/>
    <w:qFormat/>
    <w:uiPriority w:val="1"/>
  </w:style>
  <w:style w:type="table" w:default="1" w:styleId="13">
    <w:name w:val="Normal Table"/>
    <w:unhideWhenUsed/>
    <w:qFormat/>
    <w:uiPriority w:val="99"/>
    <w:tblPr>
      <w:tblCellMar>
        <w:top w:w="0" w:type="dxa"/>
        <w:left w:w="108" w:type="dxa"/>
        <w:bottom w:w="0" w:type="dxa"/>
        <w:right w:w="108" w:type="dxa"/>
      </w:tblCellMar>
    </w:tblPr>
  </w:style>
  <w:style w:type="paragraph" w:customStyle="1" w:styleId="2">
    <w:name w:val="正文（文本）"/>
    <w:qFormat/>
    <w:uiPriority w:val="0"/>
    <w:pPr>
      <w:widowControl w:val="0"/>
      <w:snapToGrid w:val="0"/>
      <w:spacing w:beforeLines="20" w:line="360" w:lineRule="auto"/>
      <w:jc w:val="center"/>
    </w:pPr>
    <w:rPr>
      <w:rFonts w:ascii="Calibri" w:hAnsi="宋体" w:eastAsia="宋体" w:cs="Times New Roman"/>
      <w:kern w:val="2"/>
      <w:sz w:val="28"/>
      <w:szCs w:val="28"/>
      <w:lang w:val="en-US" w:eastAsia="zh-CN" w:bidi="ar-SA"/>
    </w:rPr>
  </w:style>
  <w:style w:type="paragraph" w:styleId="3">
    <w:name w:val="table of authorities"/>
    <w:basedOn w:val="1"/>
    <w:next w:val="1"/>
    <w:unhideWhenUsed/>
    <w:qFormat/>
    <w:uiPriority w:val="99"/>
    <w:pPr>
      <w:ind w:left="420" w:leftChars="200"/>
    </w:pPr>
  </w:style>
  <w:style w:type="paragraph" w:styleId="4">
    <w:name w:val="annotation text"/>
    <w:basedOn w:val="1"/>
    <w:link w:val="31"/>
    <w:qFormat/>
    <w:uiPriority w:val="0"/>
    <w:pPr>
      <w:jc w:val="left"/>
    </w:pPr>
  </w:style>
  <w:style w:type="paragraph" w:styleId="5">
    <w:name w:val="Body Text"/>
    <w:basedOn w:val="1"/>
    <w:qFormat/>
    <w:uiPriority w:val="99"/>
    <w:pPr>
      <w:spacing w:line="360" w:lineRule="auto"/>
      <w:ind w:firstLine="200" w:firstLineChars="200"/>
    </w:pPr>
    <w:rPr>
      <w:rFonts w:ascii="Times New Roman" w:eastAsia="微软雅黑"/>
      <w:sz w:val="22"/>
    </w:rPr>
  </w:style>
  <w:style w:type="paragraph" w:styleId="6">
    <w:name w:val="Block Text"/>
    <w:basedOn w:val="1"/>
    <w:unhideWhenUsed/>
    <w:qFormat/>
    <w:uiPriority w:val="0"/>
    <w:pPr>
      <w:spacing w:after="120"/>
      <w:ind w:left="1440" w:leftChars="700" w:right="1440" w:rightChars="700"/>
    </w:pPr>
    <w:rPr>
      <w:rFonts w:asciiTheme="minorHAnsi" w:hAnsiTheme="minorHAnsi" w:eastAsiaTheme="minorEastAsia" w:cstheme="minorBidi"/>
      <w:szCs w:val="24"/>
    </w:rPr>
  </w:style>
  <w:style w:type="paragraph" w:styleId="7">
    <w:name w:val="Balloon Text"/>
    <w:basedOn w:val="1"/>
    <w:link w:val="33"/>
    <w:qFormat/>
    <w:uiPriority w:val="0"/>
    <w:rPr>
      <w:sz w:val="18"/>
      <w:szCs w:val="18"/>
    </w:r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100" w:beforeAutospacing="1" w:after="100" w:afterAutospacing="1"/>
      <w:jc w:val="left"/>
    </w:pPr>
    <w:rPr>
      <w:kern w:val="0"/>
      <w:sz w:val="24"/>
    </w:rPr>
  </w:style>
  <w:style w:type="paragraph" w:styleId="11">
    <w:name w:val="annotation subject"/>
    <w:basedOn w:val="4"/>
    <w:next w:val="4"/>
    <w:link w:val="32"/>
    <w:qFormat/>
    <w:uiPriority w:val="0"/>
    <w:rPr>
      <w:b/>
      <w:bCs/>
    </w:rPr>
  </w:style>
  <w:style w:type="paragraph" w:styleId="12">
    <w:name w:val="Body Text First Indent"/>
    <w:basedOn w:val="5"/>
    <w:qFormat/>
    <w:uiPriority w:val="99"/>
    <w:pPr>
      <w:spacing w:line="400" w:lineRule="atLeast"/>
      <w:ind w:firstLine="426"/>
    </w:pPr>
  </w:style>
  <w:style w:type="table" w:styleId="14">
    <w:name w:val="Table Grid"/>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Emphasis"/>
    <w:basedOn w:val="15"/>
    <w:qFormat/>
    <w:uiPriority w:val="0"/>
    <w:rPr>
      <w:i/>
    </w:rPr>
  </w:style>
  <w:style w:type="character" w:styleId="17">
    <w:name w:val="annotation reference"/>
    <w:basedOn w:val="15"/>
    <w:qFormat/>
    <w:uiPriority w:val="0"/>
    <w:rPr>
      <w:sz w:val="21"/>
      <w:szCs w:val="21"/>
    </w:rPr>
  </w:style>
  <w:style w:type="paragraph" w:customStyle="1" w:styleId="18">
    <w:name w:val="List Paragraph"/>
    <w:basedOn w:val="1"/>
    <w:link w:val="24"/>
    <w:qFormat/>
    <w:uiPriority w:val="0"/>
    <w:pPr>
      <w:ind w:firstLine="420" w:firstLineChars="200"/>
    </w:pPr>
  </w:style>
  <w:style w:type="character" w:customStyle="1" w:styleId="19">
    <w:name w:val="页眉 字符"/>
    <w:basedOn w:val="15"/>
    <w:link w:val="9"/>
    <w:qFormat/>
    <w:uiPriority w:val="0"/>
    <w:rPr>
      <w:rFonts w:ascii="Calibri" w:hAnsi="Calibri"/>
      <w:kern w:val="2"/>
      <w:sz w:val="18"/>
      <w:szCs w:val="18"/>
    </w:rPr>
  </w:style>
  <w:style w:type="character" w:customStyle="1" w:styleId="20">
    <w:name w:val="页脚 字符"/>
    <w:basedOn w:val="15"/>
    <w:link w:val="8"/>
    <w:qFormat/>
    <w:uiPriority w:val="0"/>
    <w:rPr>
      <w:rFonts w:ascii="Calibri" w:hAnsi="Calibri"/>
      <w:kern w:val="2"/>
      <w:sz w:val="18"/>
      <w:szCs w:val="18"/>
    </w:rPr>
  </w:style>
  <w:style w:type="paragraph" w:customStyle="1" w:styleId="21">
    <w:name w:val="Default"/>
    <w:qFormat/>
    <w:uiPriority w:val="0"/>
    <w:pPr>
      <w:widowControl w:val="0"/>
      <w:autoSpaceDE w:val="0"/>
      <w:autoSpaceDN w:val="0"/>
      <w:adjustRightInd w:val="0"/>
    </w:pPr>
    <w:rPr>
      <w:rFonts w:ascii="......." w:hAnsi="......." w:eastAsia="......." w:cs="Times New Roman"/>
      <w:color w:val="000000"/>
      <w:sz w:val="24"/>
      <w:szCs w:val="24"/>
      <w:lang w:val="en-US" w:eastAsia="zh-CN" w:bidi="ar-SA"/>
    </w:rPr>
  </w:style>
  <w:style w:type="character" w:customStyle="1" w:styleId="22">
    <w:name w:val="无间隔 字符"/>
    <w:link w:val="23"/>
    <w:qFormat/>
    <w:uiPriority w:val="1"/>
    <w:rPr>
      <w:kern w:val="2"/>
      <w:sz w:val="21"/>
      <w:szCs w:val="22"/>
    </w:rPr>
  </w:style>
  <w:style w:type="paragraph" w:customStyle="1" w:styleId="23">
    <w:name w:val="No Spacing"/>
    <w:link w:val="22"/>
    <w:qFormat/>
    <w:uiPriority w:val="1"/>
    <w:pPr>
      <w:widowControl w:val="0"/>
      <w:jc w:val="both"/>
    </w:pPr>
    <w:rPr>
      <w:rFonts w:ascii="Times New Roman" w:hAnsi="Times New Roman" w:eastAsia="宋体" w:cs="Times New Roman"/>
      <w:kern w:val="2"/>
      <w:sz w:val="21"/>
      <w:szCs w:val="22"/>
      <w:lang w:val="en-US" w:eastAsia="zh-CN" w:bidi="ar-SA"/>
    </w:rPr>
  </w:style>
  <w:style w:type="character" w:customStyle="1" w:styleId="24">
    <w:name w:val="列出段落 字符"/>
    <w:link w:val="18"/>
    <w:qFormat/>
    <w:locked/>
    <w:uiPriority w:val="0"/>
    <w:rPr>
      <w:rFonts w:ascii="Calibri" w:hAnsi="Calibri"/>
      <w:kern w:val="2"/>
      <w:sz w:val="21"/>
      <w:szCs w:val="22"/>
    </w:rPr>
  </w:style>
  <w:style w:type="paragraph" w:customStyle="1" w:styleId="25">
    <w:name w:val="_Style 17"/>
    <w:basedOn w:val="1"/>
    <w:next w:val="18"/>
    <w:qFormat/>
    <w:uiPriority w:val="34"/>
    <w:pPr>
      <w:ind w:firstLine="420" w:firstLineChars="200"/>
    </w:pPr>
    <w:rPr>
      <w:rFonts w:ascii="Times New Roman" w:hAnsi="Times New Roman"/>
    </w:rPr>
  </w:style>
  <w:style w:type="paragraph" w:customStyle="1" w:styleId="26">
    <w:name w:val="无间隔1"/>
    <w:qFormat/>
    <w:uiPriority w:val="1"/>
    <w:pPr>
      <w:widowControl w:val="0"/>
    </w:pPr>
    <w:rPr>
      <w:rFonts w:ascii="仿宋" w:hAnsi="宋体" w:eastAsia="仿宋" w:cs="Times New Roman"/>
      <w:kern w:val="2"/>
      <w:sz w:val="24"/>
      <w:szCs w:val="24"/>
      <w:lang w:val="en-US" w:eastAsia="zh-CN" w:bidi="ar-SA"/>
    </w:rPr>
  </w:style>
  <w:style w:type="character" w:customStyle="1" w:styleId="27">
    <w:name w:val="font61"/>
    <w:basedOn w:val="15"/>
    <w:qFormat/>
    <w:uiPriority w:val="0"/>
    <w:rPr>
      <w:rFonts w:hint="eastAsia" w:ascii="宋体" w:hAnsi="宋体" w:eastAsia="宋体" w:cs="宋体"/>
      <w:color w:val="000000"/>
      <w:sz w:val="21"/>
      <w:szCs w:val="21"/>
      <w:u w:val="none"/>
    </w:rPr>
  </w:style>
  <w:style w:type="character" w:customStyle="1" w:styleId="28">
    <w:name w:val="font71"/>
    <w:basedOn w:val="15"/>
    <w:qFormat/>
    <w:uiPriority w:val="0"/>
    <w:rPr>
      <w:rFonts w:hint="default" w:ascii="Times New Roman" w:hAnsi="Times New Roman" w:cs="Times New Roman"/>
      <w:color w:val="000000"/>
      <w:sz w:val="21"/>
      <w:szCs w:val="21"/>
      <w:u w:val="none"/>
    </w:rPr>
  </w:style>
  <w:style w:type="character" w:customStyle="1" w:styleId="29">
    <w:name w:val="font51"/>
    <w:basedOn w:val="15"/>
    <w:qFormat/>
    <w:uiPriority w:val="0"/>
    <w:rPr>
      <w:rFonts w:hint="eastAsia" w:ascii="宋体" w:hAnsi="宋体" w:eastAsia="宋体" w:cs="宋体"/>
      <w:color w:val="000000"/>
      <w:sz w:val="21"/>
      <w:szCs w:val="21"/>
      <w:u w:val="none"/>
    </w:rPr>
  </w:style>
  <w:style w:type="table" w:customStyle="1" w:styleId="30">
    <w:name w:val="Table Normal"/>
    <w:qFormat/>
    <w:uiPriority w:val="0"/>
    <w:tblPr>
      <w:tblCellMar>
        <w:top w:w="0" w:type="dxa"/>
        <w:left w:w="0" w:type="dxa"/>
        <w:bottom w:w="0" w:type="dxa"/>
        <w:right w:w="0" w:type="dxa"/>
      </w:tblCellMar>
    </w:tblPr>
  </w:style>
  <w:style w:type="character" w:customStyle="1" w:styleId="31">
    <w:name w:val="批注文字 字符"/>
    <w:basedOn w:val="15"/>
    <w:link w:val="4"/>
    <w:qFormat/>
    <w:uiPriority w:val="0"/>
    <w:rPr>
      <w:rFonts w:ascii="Calibri" w:hAnsi="Calibri"/>
      <w:kern w:val="2"/>
      <w:sz w:val="21"/>
      <w:szCs w:val="22"/>
    </w:rPr>
  </w:style>
  <w:style w:type="character" w:customStyle="1" w:styleId="32">
    <w:name w:val="批注主题 字符"/>
    <w:basedOn w:val="31"/>
    <w:link w:val="11"/>
    <w:qFormat/>
    <w:uiPriority w:val="0"/>
    <w:rPr>
      <w:rFonts w:ascii="Calibri" w:hAnsi="Calibri"/>
      <w:b/>
      <w:bCs/>
      <w:kern w:val="2"/>
      <w:sz w:val="21"/>
      <w:szCs w:val="22"/>
    </w:rPr>
  </w:style>
  <w:style w:type="character" w:customStyle="1" w:styleId="33">
    <w:name w:val="批注框文本 字符"/>
    <w:basedOn w:val="15"/>
    <w:link w:val="7"/>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1806</Words>
  <Characters>2131</Characters>
  <Lines>49</Lines>
  <Paragraphs>13</Paragraphs>
  <TotalTime>40</TotalTime>
  <ScaleCrop>false</ScaleCrop>
  <LinksUpToDate>false</LinksUpToDate>
  <CharactersWithSpaces>2156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2025-11-12T03:52:00Z</dcterms:created>
  <dc:creator>HP</dc:creator>
  <cp:lastModifiedBy>王仁睿</cp:lastModifiedBy>
  <cp:lastPrinted>2025-05-24T07:09:00Z</cp:lastPrinted>
  <dcterms:modified xsi:type="dcterms:W3CDTF">2026-10-12T06:54:23Z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A00F2B4BFAEE4E14BCD608E97637E14A_13</vt:lpwstr>
  </property>
  <property fmtid="{D5CDD505-2E9C-101B-9397-08002B2CF9AE}" pid="4" name="KSOTemplateDocerSaveRecord">
    <vt:lpwstr>eyJoZGlkIjoiMjkxMWEzMjYwZGI3NTY2MGIxZWU5YzlhYjBjNzA3MzEiLCJ1c2VySWQiOiIxNjg4ODg2NDcyIn0=</vt:lpwstr>
  </property>
</Properties>
</file>