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1E5AB">
      <w:pPr>
        <w:spacing w:line="360" w:lineRule="auto"/>
        <w:jc w:val="left"/>
        <w:rPr>
          <w:rFonts w:ascii="宋体" w:hAnsi="宋体"/>
          <w:b/>
          <w:szCs w:val="21"/>
        </w:rPr>
      </w:pPr>
      <w:r>
        <w:rPr>
          <w:rFonts w:hint="eastAsia" w:ascii="宋体" w:hAnsi="宋体"/>
          <w:b/>
          <w:szCs w:val="21"/>
        </w:rPr>
        <w:t>附件：</w:t>
      </w:r>
    </w:p>
    <w:p w14:paraId="28A788BF">
      <w:pPr>
        <w:jc w:val="center"/>
        <w:rPr>
          <w:rFonts w:ascii="宋体" w:hAnsi="宋体"/>
          <w:b/>
          <w:sz w:val="28"/>
          <w:szCs w:val="28"/>
        </w:rPr>
      </w:pPr>
      <w:r>
        <w:rPr>
          <w:rFonts w:hint="eastAsia" w:ascii="黑体" w:hAnsi="黑体" w:eastAsia="黑体"/>
          <w:sz w:val="36"/>
          <w:szCs w:val="30"/>
        </w:rPr>
        <w:t>上海外国语大学</w:t>
      </w:r>
      <w:r>
        <w:rPr>
          <w:rFonts w:ascii="黑体" w:hAnsi="黑体" w:eastAsia="黑体"/>
          <w:sz w:val="36"/>
          <w:szCs w:val="30"/>
        </w:rPr>
        <w:t>202</w:t>
      </w:r>
      <w:r>
        <w:rPr>
          <w:rFonts w:hint="eastAsia" w:ascii="黑体" w:hAnsi="黑体" w:eastAsia="黑体"/>
          <w:sz w:val="36"/>
          <w:szCs w:val="30"/>
          <w:lang w:val="en-US" w:eastAsia="zh-CN"/>
        </w:rPr>
        <w:t>6</w:t>
      </w:r>
      <w:r>
        <w:rPr>
          <w:rFonts w:ascii="黑体" w:hAnsi="黑体" w:eastAsia="黑体"/>
          <w:sz w:val="36"/>
          <w:szCs w:val="30"/>
        </w:rPr>
        <w:t>年度Blackboard在线教学管理平台运维劳务服务外包采购项目</w:t>
      </w:r>
      <w:r>
        <w:rPr>
          <w:rFonts w:hint="eastAsia" w:ascii="黑体" w:hAnsi="黑体" w:eastAsia="黑体"/>
          <w:sz w:val="32"/>
          <w:szCs w:val="36"/>
          <w:lang w:val="en-US" w:eastAsia="zh-CN"/>
        </w:rPr>
        <w:t>比选</w:t>
      </w:r>
      <w:r>
        <w:rPr>
          <w:rFonts w:hint="eastAsia" w:ascii="黑体" w:hAnsi="黑体" w:eastAsia="黑体"/>
          <w:sz w:val="32"/>
          <w:szCs w:val="36"/>
        </w:rPr>
        <w:t>需求表</w:t>
      </w:r>
    </w:p>
    <w:p w14:paraId="25444A24">
      <w:pPr>
        <w:spacing w:line="360" w:lineRule="auto"/>
        <w:rPr>
          <w:rFonts w:ascii="宋体" w:hAnsi="宋体"/>
          <w:b/>
          <w:szCs w:val="21"/>
        </w:rPr>
      </w:pPr>
      <w:r>
        <w:rPr>
          <w:rFonts w:hint="eastAsia" w:ascii="宋体" w:hAnsi="宋体"/>
          <w:b/>
          <w:szCs w:val="21"/>
        </w:rPr>
        <w:t>一、采购部门基本情况</w:t>
      </w:r>
    </w:p>
    <w:tbl>
      <w:tblPr>
        <w:tblStyle w:val="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9"/>
        <w:gridCol w:w="3150"/>
        <w:gridCol w:w="1650"/>
        <w:gridCol w:w="2804"/>
      </w:tblGrid>
      <w:tr w14:paraId="0CEF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89" w:type="dxa"/>
            <w:vAlign w:val="center"/>
          </w:tcPr>
          <w:p w14:paraId="47DD1D18">
            <w:pPr>
              <w:spacing w:line="360" w:lineRule="auto"/>
              <w:jc w:val="center"/>
              <w:rPr>
                <w:rFonts w:ascii="宋体" w:hAnsi="宋体"/>
                <w:b/>
                <w:szCs w:val="21"/>
              </w:rPr>
            </w:pPr>
            <w:r>
              <w:rPr>
                <w:rFonts w:hint="eastAsia" w:ascii="宋体" w:hAnsi="宋体"/>
                <w:b/>
                <w:szCs w:val="21"/>
              </w:rPr>
              <w:t>采购部门名称</w:t>
            </w:r>
          </w:p>
        </w:tc>
        <w:tc>
          <w:tcPr>
            <w:tcW w:w="3150" w:type="dxa"/>
            <w:vAlign w:val="center"/>
          </w:tcPr>
          <w:p w14:paraId="08B20FA4">
            <w:pPr>
              <w:spacing w:line="360" w:lineRule="auto"/>
              <w:jc w:val="center"/>
              <w:rPr>
                <w:rFonts w:ascii="宋体" w:hAnsi="宋体"/>
                <w:szCs w:val="21"/>
              </w:rPr>
            </w:pPr>
            <w:r>
              <w:rPr>
                <w:rFonts w:hint="eastAsia" w:ascii="宋体" w:hAnsi="宋体"/>
                <w:szCs w:val="21"/>
              </w:rPr>
              <w:t>教务处</w:t>
            </w:r>
          </w:p>
        </w:tc>
        <w:tc>
          <w:tcPr>
            <w:tcW w:w="1650" w:type="dxa"/>
            <w:vAlign w:val="center"/>
          </w:tcPr>
          <w:p w14:paraId="320ECBF7">
            <w:pPr>
              <w:spacing w:line="360" w:lineRule="auto"/>
              <w:jc w:val="center"/>
              <w:rPr>
                <w:rFonts w:ascii="宋体" w:hAnsi="宋体"/>
                <w:b/>
                <w:szCs w:val="21"/>
              </w:rPr>
            </w:pPr>
            <w:r>
              <w:rPr>
                <w:rFonts w:hint="eastAsia" w:ascii="宋体" w:hAnsi="宋体"/>
                <w:b/>
                <w:szCs w:val="21"/>
              </w:rPr>
              <w:t>项目负责人</w:t>
            </w:r>
          </w:p>
        </w:tc>
        <w:tc>
          <w:tcPr>
            <w:tcW w:w="2804" w:type="dxa"/>
            <w:vAlign w:val="center"/>
          </w:tcPr>
          <w:p w14:paraId="7CB37DD8">
            <w:pPr>
              <w:spacing w:line="360" w:lineRule="auto"/>
              <w:jc w:val="center"/>
              <w:rPr>
                <w:rFonts w:hint="default" w:ascii="宋体" w:hAnsi="宋体" w:eastAsia="宋体"/>
                <w:szCs w:val="21"/>
                <w:lang w:val="en-US" w:eastAsia="zh-CN"/>
              </w:rPr>
            </w:pPr>
            <w:r>
              <w:rPr>
                <w:rFonts w:hint="eastAsia" w:ascii="宋体" w:hAnsi="宋体"/>
                <w:szCs w:val="21"/>
                <w:lang w:val="en-US" w:eastAsia="zh-CN"/>
              </w:rPr>
              <w:t>王仁睿</w:t>
            </w:r>
          </w:p>
        </w:tc>
      </w:tr>
      <w:tr w14:paraId="5932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89" w:type="dxa"/>
            <w:vAlign w:val="center"/>
          </w:tcPr>
          <w:p w14:paraId="679AAE55">
            <w:pPr>
              <w:spacing w:line="360" w:lineRule="auto"/>
              <w:jc w:val="center"/>
              <w:rPr>
                <w:rFonts w:ascii="宋体" w:hAnsi="宋体"/>
                <w:b/>
                <w:szCs w:val="21"/>
              </w:rPr>
            </w:pPr>
            <w:r>
              <w:rPr>
                <w:rFonts w:hint="eastAsia" w:ascii="宋体" w:hAnsi="宋体"/>
                <w:b/>
                <w:szCs w:val="21"/>
              </w:rPr>
              <w:t>办公地点</w:t>
            </w:r>
          </w:p>
        </w:tc>
        <w:tc>
          <w:tcPr>
            <w:tcW w:w="3150" w:type="dxa"/>
            <w:vAlign w:val="center"/>
          </w:tcPr>
          <w:p w14:paraId="341EE752">
            <w:pPr>
              <w:spacing w:line="360" w:lineRule="auto"/>
              <w:jc w:val="center"/>
              <w:rPr>
                <w:rFonts w:ascii="宋体" w:hAnsi="宋体"/>
                <w:b/>
                <w:szCs w:val="21"/>
              </w:rPr>
            </w:pPr>
            <w:r>
              <w:rPr>
                <w:rFonts w:hint="eastAsia" w:ascii="宋体" w:hAnsi="宋体"/>
                <w:szCs w:val="21"/>
              </w:rPr>
              <w:t>上外松江校区行政楼2</w:t>
            </w:r>
            <w:r>
              <w:rPr>
                <w:rFonts w:ascii="宋体" w:hAnsi="宋体"/>
                <w:szCs w:val="21"/>
              </w:rPr>
              <w:t>02</w:t>
            </w:r>
            <w:r>
              <w:rPr>
                <w:rFonts w:hint="eastAsia" w:ascii="宋体" w:hAnsi="宋体"/>
                <w:szCs w:val="21"/>
              </w:rPr>
              <w:t>室</w:t>
            </w:r>
          </w:p>
        </w:tc>
        <w:tc>
          <w:tcPr>
            <w:tcW w:w="1650" w:type="dxa"/>
            <w:vAlign w:val="center"/>
          </w:tcPr>
          <w:p w14:paraId="209CF29B">
            <w:pPr>
              <w:spacing w:line="360" w:lineRule="auto"/>
              <w:jc w:val="center"/>
              <w:rPr>
                <w:rFonts w:ascii="宋体" w:hAnsi="宋体"/>
                <w:b/>
                <w:szCs w:val="21"/>
              </w:rPr>
            </w:pPr>
            <w:r>
              <w:rPr>
                <w:rFonts w:hint="eastAsia" w:ascii="宋体" w:hAnsi="宋体"/>
                <w:b/>
                <w:szCs w:val="21"/>
              </w:rPr>
              <w:t>联系方式</w:t>
            </w:r>
          </w:p>
        </w:tc>
        <w:tc>
          <w:tcPr>
            <w:tcW w:w="2804" w:type="dxa"/>
            <w:vAlign w:val="center"/>
          </w:tcPr>
          <w:p w14:paraId="4013F887">
            <w:pPr>
              <w:spacing w:line="360" w:lineRule="auto"/>
              <w:jc w:val="center"/>
              <w:rPr>
                <w:rFonts w:ascii="宋体" w:hAnsi="宋体"/>
                <w:szCs w:val="21"/>
              </w:rPr>
            </w:pPr>
            <w:r>
              <w:rPr>
                <w:rFonts w:hint="eastAsia" w:ascii="宋体" w:hAnsi="宋体"/>
                <w:szCs w:val="21"/>
              </w:rPr>
              <w:t>021-677010</w:t>
            </w:r>
            <w:r>
              <w:rPr>
                <w:rFonts w:ascii="宋体" w:hAnsi="宋体"/>
                <w:szCs w:val="21"/>
              </w:rPr>
              <w:t>95</w:t>
            </w:r>
          </w:p>
        </w:tc>
      </w:tr>
    </w:tbl>
    <w:p w14:paraId="75E220E8">
      <w:pPr>
        <w:spacing w:line="360" w:lineRule="auto"/>
        <w:rPr>
          <w:rFonts w:ascii="宋体" w:hAnsi="宋体"/>
          <w:b/>
          <w:szCs w:val="21"/>
        </w:rPr>
      </w:pPr>
      <w:r>
        <w:rPr>
          <w:rFonts w:hint="eastAsia" w:ascii="宋体" w:hAnsi="宋体"/>
          <w:b/>
          <w:szCs w:val="21"/>
        </w:rPr>
        <w:t>二、采购项目基本情况</w:t>
      </w:r>
    </w:p>
    <w:tbl>
      <w:tblPr>
        <w:tblStyle w:val="8"/>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3466"/>
        <w:gridCol w:w="2454"/>
        <w:gridCol w:w="2348"/>
      </w:tblGrid>
      <w:tr w14:paraId="0C63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12" w:type="dxa"/>
            <w:vAlign w:val="center"/>
          </w:tcPr>
          <w:p w14:paraId="7F156322">
            <w:pPr>
              <w:spacing w:line="360" w:lineRule="auto"/>
              <w:jc w:val="center"/>
              <w:rPr>
                <w:rFonts w:ascii="宋体" w:hAnsi="宋体"/>
                <w:b/>
                <w:szCs w:val="21"/>
              </w:rPr>
            </w:pPr>
            <w:r>
              <w:rPr>
                <w:rFonts w:hint="eastAsia" w:ascii="宋体" w:hAnsi="宋体"/>
                <w:b/>
                <w:szCs w:val="21"/>
              </w:rPr>
              <w:t>项目名称</w:t>
            </w:r>
          </w:p>
        </w:tc>
        <w:tc>
          <w:tcPr>
            <w:tcW w:w="8268" w:type="dxa"/>
            <w:gridSpan w:val="3"/>
            <w:vAlign w:val="center"/>
          </w:tcPr>
          <w:p w14:paraId="6840D0AC">
            <w:pPr>
              <w:spacing w:line="360" w:lineRule="auto"/>
              <w:jc w:val="both"/>
              <w:rPr>
                <w:rFonts w:ascii="宋体" w:hAnsi="宋体"/>
                <w:b/>
                <w:sz w:val="21"/>
                <w:szCs w:val="21"/>
              </w:rPr>
            </w:pPr>
            <w:r>
              <w:rPr>
                <w:rFonts w:hint="eastAsia" w:ascii="宋体" w:hAnsi="宋体"/>
                <w:b/>
                <w:sz w:val="21"/>
                <w:szCs w:val="21"/>
              </w:rPr>
              <w:t>上海外国语大学202</w:t>
            </w:r>
            <w:r>
              <w:rPr>
                <w:rFonts w:hint="eastAsia" w:ascii="宋体" w:hAnsi="宋体"/>
                <w:b/>
                <w:sz w:val="21"/>
                <w:szCs w:val="21"/>
                <w:lang w:val="en-US" w:eastAsia="zh-CN"/>
              </w:rPr>
              <w:t>6</w:t>
            </w:r>
            <w:r>
              <w:rPr>
                <w:rFonts w:hint="eastAsia" w:ascii="宋体" w:hAnsi="宋体"/>
                <w:b/>
                <w:sz w:val="21"/>
                <w:szCs w:val="21"/>
              </w:rPr>
              <w:t>年度Blackboard在线教学管理平台运维劳务服务外包采购项目</w:t>
            </w:r>
            <w:r>
              <w:rPr>
                <w:rFonts w:hint="eastAsia" w:ascii="宋体" w:hAnsi="宋体"/>
                <w:b/>
                <w:sz w:val="21"/>
                <w:szCs w:val="21"/>
                <w:lang w:val="en-US" w:eastAsia="zh-CN"/>
              </w:rPr>
              <w:t>比选</w:t>
            </w:r>
            <w:r>
              <w:rPr>
                <w:rFonts w:hint="eastAsia" w:ascii="宋体" w:hAnsi="宋体"/>
                <w:b/>
                <w:sz w:val="21"/>
                <w:szCs w:val="21"/>
              </w:rPr>
              <w:t>需求表</w:t>
            </w:r>
          </w:p>
        </w:tc>
      </w:tr>
      <w:tr w14:paraId="7DB5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212" w:type="dxa"/>
            <w:vAlign w:val="center"/>
          </w:tcPr>
          <w:p w14:paraId="5D38B835">
            <w:pPr>
              <w:spacing w:line="360" w:lineRule="auto"/>
              <w:jc w:val="center"/>
              <w:rPr>
                <w:rFonts w:ascii="宋体" w:hAnsi="宋体"/>
                <w:b/>
                <w:szCs w:val="21"/>
              </w:rPr>
            </w:pPr>
            <w:r>
              <w:rPr>
                <w:rFonts w:hint="eastAsia" w:ascii="宋体" w:hAnsi="宋体"/>
                <w:b/>
                <w:szCs w:val="21"/>
              </w:rPr>
              <w:t>实施时间</w:t>
            </w:r>
          </w:p>
        </w:tc>
        <w:tc>
          <w:tcPr>
            <w:tcW w:w="3466" w:type="dxa"/>
            <w:vAlign w:val="center"/>
          </w:tcPr>
          <w:p w14:paraId="63FFB141">
            <w:pPr>
              <w:jc w:val="center"/>
              <w:rPr>
                <w:rFonts w:ascii="宋体" w:hAnsi="宋体"/>
                <w:szCs w:val="21"/>
              </w:rPr>
            </w:pPr>
            <w:r>
              <w:rPr>
                <w:rFonts w:hint="eastAsia" w:ascii="宋体" w:hAnsi="宋体"/>
                <w:szCs w:val="21"/>
              </w:rPr>
              <w:t>双方签约生效后</w:t>
            </w:r>
            <w:r>
              <w:rPr>
                <w:rFonts w:hint="eastAsia" w:ascii="宋体" w:hAnsi="宋体"/>
                <w:szCs w:val="21"/>
                <w:lang w:val="en-US" w:eastAsia="zh-CN"/>
              </w:rPr>
              <w:t>15个工作日</w:t>
            </w:r>
            <w:r>
              <w:rPr>
                <w:rFonts w:hint="eastAsia" w:ascii="宋体" w:hAnsi="宋体"/>
                <w:szCs w:val="21"/>
              </w:rPr>
              <w:t>内完成交付</w:t>
            </w:r>
          </w:p>
        </w:tc>
        <w:tc>
          <w:tcPr>
            <w:tcW w:w="2454" w:type="dxa"/>
            <w:vAlign w:val="center"/>
          </w:tcPr>
          <w:p w14:paraId="633FE8F2">
            <w:pPr>
              <w:spacing w:line="360" w:lineRule="auto"/>
              <w:jc w:val="center"/>
              <w:rPr>
                <w:rFonts w:ascii="宋体" w:hAnsi="宋体"/>
                <w:b/>
                <w:szCs w:val="21"/>
              </w:rPr>
            </w:pPr>
            <w:r>
              <w:rPr>
                <w:rFonts w:hint="eastAsia" w:ascii="宋体" w:hAnsi="宋体"/>
                <w:b/>
                <w:szCs w:val="21"/>
              </w:rPr>
              <w:t>采购方式</w:t>
            </w:r>
          </w:p>
        </w:tc>
        <w:tc>
          <w:tcPr>
            <w:tcW w:w="2348" w:type="dxa"/>
            <w:vAlign w:val="center"/>
          </w:tcPr>
          <w:p w14:paraId="25D8800E">
            <w:pPr>
              <w:spacing w:line="360" w:lineRule="auto"/>
              <w:jc w:val="center"/>
              <w:rPr>
                <w:rFonts w:ascii="宋体" w:hAnsi="宋体"/>
                <w:b/>
                <w:szCs w:val="21"/>
              </w:rPr>
            </w:pPr>
            <w:r>
              <w:rPr>
                <w:rFonts w:hint="eastAsia" w:ascii="宋体" w:hAnsi="宋体" w:cs="Arial"/>
                <w:color w:val="333333"/>
                <w:szCs w:val="21"/>
                <w:shd w:val="clear" w:color="auto" w:fill="FFFFFF"/>
                <w:lang w:val="en-US" w:eastAsia="zh-CN"/>
              </w:rPr>
              <w:t>比选采购</w:t>
            </w:r>
          </w:p>
        </w:tc>
      </w:tr>
      <w:tr w14:paraId="4802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7" w:hRule="atLeast"/>
          <w:jc w:val="center"/>
        </w:trPr>
        <w:tc>
          <w:tcPr>
            <w:tcW w:w="1212" w:type="dxa"/>
            <w:vAlign w:val="center"/>
          </w:tcPr>
          <w:p w14:paraId="32661E08">
            <w:pPr>
              <w:spacing w:line="360" w:lineRule="auto"/>
              <w:jc w:val="center"/>
              <w:rPr>
                <w:rFonts w:ascii="宋体" w:hAnsi="宋体"/>
                <w:b/>
                <w:szCs w:val="21"/>
              </w:rPr>
            </w:pPr>
            <w:r>
              <w:rPr>
                <w:rFonts w:hint="eastAsia" w:ascii="宋体" w:hAnsi="宋体"/>
                <w:b/>
                <w:szCs w:val="21"/>
              </w:rPr>
              <w:t>项目需求</w:t>
            </w:r>
          </w:p>
        </w:tc>
        <w:tc>
          <w:tcPr>
            <w:tcW w:w="8268" w:type="dxa"/>
            <w:gridSpan w:val="3"/>
            <w:vAlign w:val="center"/>
          </w:tcPr>
          <w:p w14:paraId="129AF78B">
            <w:pPr>
              <w:pStyle w:val="10"/>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ascii="宋体" w:hAnsi="宋体" w:cs="宋体"/>
                <w:b/>
                <w:bCs/>
                <w:sz w:val="21"/>
                <w:szCs w:val="21"/>
              </w:rPr>
            </w:pPr>
            <w:r>
              <w:rPr>
                <w:rFonts w:hint="eastAsia" w:ascii="宋体" w:hAnsi="宋体" w:cs="宋体"/>
                <w:b/>
                <w:bCs/>
                <w:sz w:val="21"/>
                <w:szCs w:val="21"/>
              </w:rPr>
              <w:t>采购预算</w:t>
            </w:r>
          </w:p>
          <w:p w14:paraId="5E1752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总价不超过</w:t>
            </w:r>
            <w:r>
              <w:rPr>
                <w:rFonts w:hint="eastAsia" w:ascii="宋体" w:hAnsi="宋体" w:cs="宋体"/>
                <w:sz w:val="21"/>
                <w:szCs w:val="21"/>
                <w:lang w:val="en-US" w:eastAsia="zh-CN"/>
              </w:rPr>
              <w:t>175</w:t>
            </w:r>
            <w:r>
              <w:rPr>
                <w:rFonts w:ascii="宋体" w:hAnsi="宋体" w:cs="宋体"/>
                <w:sz w:val="21"/>
                <w:szCs w:val="21"/>
              </w:rPr>
              <w:t>,000</w:t>
            </w:r>
            <w:r>
              <w:rPr>
                <w:rFonts w:hint="eastAsia" w:ascii="宋体" w:hAnsi="宋体" w:cs="宋体"/>
                <w:sz w:val="21"/>
                <w:szCs w:val="21"/>
              </w:rPr>
              <w:t>元（人民币）。</w:t>
            </w:r>
          </w:p>
          <w:p w14:paraId="3FCFA0D7">
            <w:pPr>
              <w:pStyle w:val="10"/>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ascii="宋体" w:hAnsi="宋体" w:cs="宋体"/>
                <w:b/>
                <w:bCs/>
                <w:sz w:val="21"/>
                <w:szCs w:val="21"/>
              </w:rPr>
            </w:pPr>
            <w:r>
              <w:rPr>
                <w:rFonts w:hint="eastAsia" w:ascii="宋体" w:hAnsi="宋体" w:cs="宋体"/>
                <w:b/>
                <w:bCs/>
                <w:sz w:val="21"/>
                <w:szCs w:val="21"/>
              </w:rPr>
              <w:t>项目要求</w:t>
            </w:r>
          </w:p>
          <w:p w14:paraId="229CBCF5">
            <w:pPr>
              <w:spacing w:line="360" w:lineRule="auto"/>
              <w:ind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现计划采购不少于1名运维劳务服务外包人员，专门负责技术支持和保障我校Blackboard在线教学管理平台，并要求提供一周五天，每天8小时的驻场服务。</w:t>
            </w:r>
          </w:p>
          <w:p w14:paraId="4F8F04D6">
            <w:pPr>
              <w:spacing w:line="360" w:lineRule="auto"/>
              <w:ind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外包服务人员工作内容包括：针对Bb平台使用和配置等相关情况进行检查、诊断和分析，同时通过电话、微信、现场等方式接待并处理师生用户在Bb平台使用过程中出现的与Bb平台相关的各类技术和应用问题。负责保障Bb平台7×24小时系统安全、稳定和正常运行，在Bb平台运行期间对出现的各种软硬件资源、网络及应用技术问题可以快速定位并解决，对Bb平台各项功能模块进行每日巡检，排查各类硬件设备、软件系统及网络链路中存在的异常情况，及时处置Bb平台技术故障和安全隐患，做好巡检记录和运维台账。负责保障Bb平台与我校统一身份认证系统API接口、本科、研究生等教务系统数据交换组件的系统安全、稳定和正常运行。负责保障Bb平台与我校统一身份认证系统的师生用户账号信息，本科和研究生等教务系统内的课表、课程、考试、学分、评教、课件等相关教学数据及授课文件的交换、同步和共享。负责导入海外合作学院及继续教育学院的课程数据和师生信息，切实做到所有数据和信息及时更新、准确无误。</w:t>
            </w:r>
            <w:r>
              <w:rPr>
                <w:rFonts w:hint="eastAsia" w:ascii="宋体" w:hAnsi="宋体" w:cs="宋体"/>
                <w:color w:val="auto"/>
                <w:kern w:val="0"/>
                <w:sz w:val="21"/>
                <w:szCs w:val="21"/>
                <w:lang w:val="en-US" w:eastAsia="zh-CN" w:bidi="ar-SA"/>
              </w:rPr>
              <w:t>支持</w:t>
            </w:r>
            <w:bookmarkStart w:id="0" w:name="_GoBack"/>
            <w:r>
              <w:rPr>
                <w:rFonts w:hint="eastAsia" w:ascii="宋体" w:hAnsi="宋体" w:cs="宋体"/>
                <w:color w:val="auto"/>
                <w:kern w:val="0"/>
                <w:sz w:val="21"/>
                <w:szCs w:val="21"/>
                <w:lang w:val="en-US" w:eastAsia="zh-CN" w:bidi="ar-SA"/>
              </w:rPr>
              <w:t>class</w:t>
            </w:r>
            <w:bookmarkEnd w:id="0"/>
            <w:r>
              <w:rPr>
                <w:rFonts w:hint="eastAsia" w:ascii="宋体" w:hAnsi="宋体" w:cs="宋体"/>
                <w:color w:val="auto"/>
                <w:kern w:val="0"/>
                <w:sz w:val="21"/>
                <w:szCs w:val="21"/>
                <w:lang w:val="en-US" w:eastAsia="zh-CN" w:bidi="ar-SA"/>
              </w:rPr>
              <w:t>in相关保障服务以及教务处安排的其他工作。</w:t>
            </w:r>
          </w:p>
          <w:p w14:paraId="79DED325">
            <w:pPr>
              <w:pStyle w:val="10"/>
              <w:keepNext w:val="0"/>
              <w:keepLines w:val="0"/>
              <w:pageBreakBefore w:val="0"/>
              <w:numPr>
                <w:ilvl w:val="0"/>
                <w:numId w:val="0"/>
              </w:numPr>
              <w:kinsoku/>
              <w:wordWrap/>
              <w:overflowPunct/>
              <w:topLinePunct w:val="0"/>
              <w:autoSpaceDE/>
              <w:autoSpaceDN/>
              <w:bidi w:val="0"/>
              <w:adjustRightInd/>
              <w:snapToGrid/>
              <w:spacing w:line="360" w:lineRule="auto"/>
              <w:ind w:left="562" w:leftChars="0"/>
              <w:textAlignment w:val="auto"/>
              <w:rPr>
                <w:rFonts w:ascii="宋体" w:hAnsi="宋体" w:cs="宋体"/>
                <w:b/>
                <w:bCs/>
                <w:sz w:val="21"/>
                <w:szCs w:val="21"/>
              </w:rPr>
            </w:pPr>
          </w:p>
          <w:p w14:paraId="08B1B146">
            <w:pPr>
              <w:pStyle w:val="10"/>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ascii="宋体" w:hAnsi="宋体" w:cs="宋体"/>
                <w:b/>
                <w:bCs/>
                <w:sz w:val="21"/>
                <w:szCs w:val="21"/>
              </w:rPr>
            </w:pPr>
            <w:r>
              <w:rPr>
                <w:rFonts w:hint="eastAsia" w:ascii="宋体" w:hAnsi="宋体" w:cs="宋体"/>
                <w:b/>
                <w:bCs/>
                <w:sz w:val="21"/>
                <w:szCs w:val="21"/>
              </w:rPr>
              <w:t>服务要求</w:t>
            </w:r>
          </w:p>
          <w:p w14:paraId="23EA918A">
            <w:pPr>
              <w:keepNext w:val="0"/>
              <w:keepLines w:val="0"/>
              <w:pageBreakBefore w:val="0"/>
              <w:kinsoku/>
              <w:wordWrap/>
              <w:overflowPunct/>
              <w:topLinePunct w:val="0"/>
              <w:autoSpaceDE/>
              <w:autoSpaceDN/>
              <w:bidi w:val="0"/>
              <w:adjustRightInd/>
              <w:snapToGrid/>
              <w:spacing w:line="360" w:lineRule="auto"/>
              <w:ind w:firstLine="420" w:firstLineChars="200"/>
              <w:contextualSpacing/>
              <w:jc w:val="left"/>
              <w:textAlignment w:val="auto"/>
              <w:rPr>
                <w:rFonts w:ascii="宋体" w:hAnsi="宋体"/>
                <w:sz w:val="21"/>
                <w:szCs w:val="21"/>
              </w:rPr>
            </w:pPr>
            <w:r>
              <w:rPr>
                <w:rFonts w:ascii="宋体" w:hAnsi="宋体"/>
                <w:sz w:val="21"/>
                <w:szCs w:val="21"/>
              </w:rPr>
              <w:t>1.</w:t>
            </w:r>
            <w:r>
              <w:rPr>
                <w:rFonts w:hint="eastAsia" w:ascii="宋体" w:hAnsi="宋体"/>
                <w:sz w:val="21"/>
                <w:szCs w:val="21"/>
              </w:rPr>
              <w:t>企业有相关服务经验</w:t>
            </w:r>
            <w:r>
              <w:rPr>
                <w:rFonts w:ascii="宋体" w:hAnsi="宋体"/>
                <w:sz w:val="21"/>
                <w:szCs w:val="21"/>
              </w:rPr>
              <w:t>：供应商须提供</w:t>
            </w:r>
            <w:r>
              <w:rPr>
                <w:rFonts w:hint="eastAsia" w:ascii="宋体" w:hAnsi="宋体"/>
                <w:sz w:val="21"/>
                <w:szCs w:val="21"/>
              </w:rPr>
              <w:t>合作过案例的证明。</w:t>
            </w:r>
          </w:p>
          <w:p w14:paraId="78DE1D11">
            <w:pPr>
              <w:keepNext w:val="0"/>
              <w:keepLines w:val="0"/>
              <w:pageBreakBefore w:val="0"/>
              <w:kinsoku/>
              <w:wordWrap/>
              <w:overflowPunct/>
              <w:topLinePunct w:val="0"/>
              <w:autoSpaceDE/>
              <w:autoSpaceDN/>
              <w:bidi w:val="0"/>
              <w:adjustRightInd/>
              <w:snapToGrid/>
              <w:spacing w:line="360" w:lineRule="auto"/>
              <w:ind w:firstLine="420" w:firstLineChars="200"/>
              <w:contextualSpacing/>
              <w:jc w:val="left"/>
              <w:textAlignment w:val="auto"/>
              <w:rPr>
                <w:rFonts w:ascii="宋体" w:hAnsi="宋体" w:cs="宋体"/>
                <w:b/>
                <w:bCs/>
                <w:sz w:val="21"/>
                <w:szCs w:val="21"/>
              </w:rPr>
            </w:pPr>
            <w:r>
              <w:rPr>
                <w:rFonts w:ascii="宋体" w:hAnsi="宋体"/>
                <w:sz w:val="21"/>
                <w:szCs w:val="21"/>
              </w:rPr>
              <w:t>2</w:t>
            </w:r>
            <w:r>
              <w:rPr>
                <w:rFonts w:hint="eastAsia" w:ascii="宋体" w:hAnsi="宋体"/>
                <w:sz w:val="21"/>
                <w:szCs w:val="21"/>
              </w:rPr>
              <w:t>. 提供</w:t>
            </w:r>
            <w:r>
              <w:rPr>
                <w:rFonts w:hint="eastAsia" w:ascii="宋体" w:hAnsi="宋体" w:cs="宋体"/>
                <w:bCs/>
                <w:sz w:val="21"/>
                <w:szCs w:val="21"/>
              </w:rPr>
              <w:t>未被列入“信用中国”网站（www.creditchina.gov.cn）【点击“信用服务”项查询】“失信被执行人”、“重大税收违法案件当事人”、“政府采购严重违法失信行为”查询结果记录名单复印件及中国政府采购网（www.ccgp.gov.cn）“政府采购严重违法失信行为”查询结果记录名单扫描件（单位需加盖公章）。</w:t>
            </w:r>
          </w:p>
          <w:p w14:paraId="7C0E0F61">
            <w:pPr>
              <w:pStyle w:val="10"/>
              <w:keepNext w:val="0"/>
              <w:keepLines w:val="0"/>
              <w:pageBreakBefore w:val="0"/>
              <w:numPr>
                <w:ilvl w:val="0"/>
                <w:numId w:val="1"/>
              </w:numPr>
              <w:kinsoku/>
              <w:wordWrap/>
              <w:overflowPunct/>
              <w:topLinePunct w:val="0"/>
              <w:autoSpaceDE/>
              <w:autoSpaceDN/>
              <w:bidi w:val="0"/>
              <w:adjustRightInd/>
              <w:snapToGrid/>
              <w:spacing w:line="360" w:lineRule="auto"/>
              <w:ind w:firstLineChars="0"/>
              <w:textAlignment w:val="auto"/>
              <w:rPr>
                <w:rFonts w:ascii="宋体" w:hAnsi="宋体" w:cs="宋体"/>
                <w:b/>
                <w:bCs/>
                <w:sz w:val="21"/>
                <w:szCs w:val="21"/>
              </w:rPr>
            </w:pPr>
            <w:r>
              <w:rPr>
                <w:rFonts w:hint="eastAsia" w:ascii="宋体" w:hAnsi="宋体" w:cs="宋体"/>
                <w:b/>
                <w:bCs/>
                <w:sz w:val="21"/>
                <w:szCs w:val="21"/>
              </w:rPr>
              <w:t>服务完成时间</w:t>
            </w:r>
          </w:p>
          <w:p w14:paraId="4271065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本次项目自合同正式签署生效起</w:t>
            </w:r>
            <w:r>
              <w:rPr>
                <w:rFonts w:ascii="宋体" w:hAnsi="宋体" w:cs="宋体"/>
                <w:sz w:val="21"/>
                <w:szCs w:val="21"/>
              </w:rPr>
              <w:t>5</w:t>
            </w:r>
            <w:r>
              <w:rPr>
                <w:rFonts w:hint="eastAsia" w:ascii="宋体" w:hAnsi="宋体" w:cs="宋体"/>
                <w:sz w:val="21"/>
                <w:szCs w:val="21"/>
              </w:rPr>
              <w:t>个</w:t>
            </w:r>
            <w:r>
              <w:rPr>
                <w:rFonts w:hint="eastAsia" w:ascii="宋体" w:hAnsi="宋体" w:cs="宋体"/>
                <w:sz w:val="21"/>
                <w:szCs w:val="21"/>
                <w:lang w:val="en-US" w:eastAsia="zh-CN"/>
              </w:rPr>
              <w:t>工作</w:t>
            </w:r>
            <w:r>
              <w:rPr>
                <w:rFonts w:hint="eastAsia" w:ascii="宋体" w:hAnsi="宋体" w:cs="宋体"/>
                <w:sz w:val="21"/>
                <w:szCs w:val="21"/>
              </w:rPr>
              <w:t>日内。</w:t>
            </w:r>
          </w:p>
          <w:p w14:paraId="168CB6FD">
            <w:pPr>
              <w:pStyle w:val="3"/>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b/>
                <w:bCs/>
                <w:sz w:val="21"/>
                <w:szCs w:val="21"/>
              </w:rPr>
            </w:pPr>
            <w:r>
              <w:rPr>
                <w:rFonts w:hint="eastAsia" w:ascii="宋体" w:hAnsi="宋体" w:cs="宋体"/>
                <w:b/>
                <w:bCs/>
                <w:sz w:val="21"/>
                <w:szCs w:val="21"/>
              </w:rPr>
              <w:t>采购数量及支付方式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084"/>
              <w:gridCol w:w="3630"/>
              <w:gridCol w:w="410"/>
              <w:gridCol w:w="410"/>
              <w:gridCol w:w="904"/>
              <w:gridCol w:w="933"/>
            </w:tblGrid>
            <w:tr w14:paraId="0A82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565" w:type="dxa"/>
                  <w:vAlign w:val="center"/>
                </w:tcPr>
                <w:p w14:paraId="31BE9EFA">
                  <w:pPr>
                    <w:pStyle w:val="10"/>
                    <w:ind w:firstLine="0" w:firstLineChars="0"/>
                    <w:jc w:val="center"/>
                    <w:rPr>
                      <w:rFonts w:ascii="宋体" w:hAnsi="宋体"/>
                      <w:b/>
                      <w:szCs w:val="21"/>
                    </w:rPr>
                  </w:pPr>
                  <w:r>
                    <w:rPr>
                      <w:rFonts w:hint="eastAsia" w:ascii="宋体" w:hAnsi="宋体"/>
                      <w:b/>
                      <w:szCs w:val="21"/>
                    </w:rPr>
                    <w:t>序号</w:t>
                  </w:r>
                </w:p>
              </w:tc>
              <w:tc>
                <w:tcPr>
                  <w:tcW w:w="1084" w:type="dxa"/>
                  <w:vAlign w:val="center"/>
                </w:tcPr>
                <w:p w14:paraId="13FB302A">
                  <w:pPr>
                    <w:pStyle w:val="10"/>
                    <w:ind w:firstLine="0" w:firstLineChars="0"/>
                    <w:jc w:val="center"/>
                    <w:rPr>
                      <w:rFonts w:ascii="宋体" w:hAnsi="宋体"/>
                      <w:b/>
                      <w:szCs w:val="21"/>
                    </w:rPr>
                  </w:pPr>
                  <w:r>
                    <w:rPr>
                      <w:rFonts w:hint="eastAsia" w:ascii="宋体" w:hAnsi="宋体"/>
                      <w:b/>
                      <w:szCs w:val="21"/>
                    </w:rPr>
                    <w:t>产品名称</w:t>
                  </w:r>
                </w:p>
              </w:tc>
              <w:tc>
                <w:tcPr>
                  <w:tcW w:w="3630" w:type="dxa"/>
                  <w:vAlign w:val="center"/>
                </w:tcPr>
                <w:p w14:paraId="46F490EC">
                  <w:pPr>
                    <w:pStyle w:val="10"/>
                    <w:ind w:firstLine="0" w:firstLineChars="0"/>
                    <w:jc w:val="center"/>
                    <w:rPr>
                      <w:rFonts w:ascii="宋体" w:hAnsi="宋体"/>
                      <w:b/>
                      <w:szCs w:val="21"/>
                    </w:rPr>
                  </w:pPr>
                  <w:r>
                    <w:rPr>
                      <w:rFonts w:hint="eastAsia" w:ascii="宋体" w:hAnsi="宋体"/>
                      <w:b/>
                      <w:szCs w:val="21"/>
                    </w:rPr>
                    <w:t>产品描述</w:t>
                  </w:r>
                </w:p>
              </w:tc>
              <w:tc>
                <w:tcPr>
                  <w:tcW w:w="410" w:type="dxa"/>
                  <w:vAlign w:val="center"/>
                </w:tcPr>
                <w:p w14:paraId="27777D97">
                  <w:pPr>
                    <w:pStyle w:val="10"/>
                    <w:ind w:firstLine="0" w:firstLineChars="0"/>
                    <w:jc w:val="center"/>
                    <w:rPr>
                      <w:rFonts w:ascii="宋体" w:hAnsi="宋体"/>
                      <w:b/>
                      <w:szCs w:val="21"/>
                    </w:rPr>
                  </w:pPr>
                  <w:r>
                    <w:rPr>
                      <w:rFonts w:hint="eastAsia" w:ascii="宋体" w:hAnsi="宋体"/>
                      <w:b/>
                      <w:szCs w:val="21"/>
                    </w:rPr>
                    <w:t>单位</w:t>
                  </w:r>
                </w:p>
              </w:tc>
              <w:tc>
                <w:tcPr>
                  <w:tcW w:w="410" w:type="dxa"/>
                  <w:vAlign w:val="center"/>
                </w:tcPr>
                <w:p w14:paraId="47247FA4">
                  <w:pPr>
                    <w:pStyle w:val="10"/>
                    <w:ind w:firstLine="0" w:firstLineChars="0"/>
                    <w:jc w:val="center"/>
                    <w:rPr>
                      <w:rFonts w:ascii="宋体" w:hAnsi="宋体"/>
                      <w:b/>
                      <w:szCs w:val="21"/>
                    </w:rPr>
                  </w:pPr>
                  <w:r>
                    <w:rPr>
                      <w:rFonts w:hint="eastAsia" w:ascii="宋体" w:hAnsi="宋体"/>
                      <w:b/>
                      <w:szCs w:val="21"/>
                    </w:rPr>
                    <w:t>数量</w:t>
                  </w:r>
                </w:p>
              </w:tc>
              <w:tc>
                <w:tcPr>
                  <w:tcW w:w="904" w:type="dxa"/>
                  <w:vAlign w:val="center"/>
                </w:tcPr>
                <w:p w14:paraId="5ADF2CD5">
                  <w:pPr>
                    <w:pStyle w:val="10"/>
                    <w:ind w:firstLine="0" w:firstLineChars="0"/>
                    <w:jc w:val="center"/>
                    <w:rPr>
                      <w:rFonts w:ascii="宋体" w:hAnsi="宋体"/>
                      <w:b/>
                      <w:szCs w:val="21"/>
                    </w:rPr>
                  </w:pPr>
                  <w:r>
                    <w:rPr>
                      <w:rFonts w:hint="eastAsia" w:ascii="宋体" w:hAnsi="宋体"/>
                      <w:b/>
                      <w:szCs w:val="21"/>
                    </w:rPr>
                    <w:t>预算单价</w:t>
                  </w:r>
                </w:p>
              </w:tc>
              <w:tc>
                <w:tcPr>
                  <w:tcW w:w="933" w:type="dxa"/>
                  <w:vAlign w:val="center"/>
                </w:tcPr>
                <w:p w14:paraId="6527D956">
                  <w:pPr>
                    <w:pStyle w:val="10"/>
                    <w:ind w:firstLine="0" w:firstLineChars="0"/>
                    <w:jc w:val="center"/>
                    <w:rPr>
                      <w:rFonts w:ascii="宋体" w:hAnsi="宋体"/>
                      <w:b/>
                      <w:szCs w:val="21"/>
                    </w:rPr>
                  </w:pPr>
                  <w:r>
                    <w:rPr>
                      <w:rFonts w:hint="eastAsia" w:ascii="宋体" w:hAnsi="宋体"/>
                      <w:b/>
                      <w:szCs w:val="21"/>
                    </w:rPr>
                    <w:t>预算总价</w:t>
                  </w:r>
                </w:p>
              </w:tc>
            </w:tr>
            <w:tr w14:paraId="00FF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0" w:hRule="atLeast"/>
              </w:trPr>
              <w:tc>
                <w:tcPr>
                  <w:tcW w:w="565" w:type="dxa"/>
                  <w:vAlign w:val="center"/>
                </w:tcPr>
                <w:p w14:paraId="34D87134">
                  <w:pPr>
                    <w:pStyle w:val="10"/>
                    <w:ind w:firstLine="0" w:firstLineChars="0"/>
                    <w:jc w:val="center"/>
                    <w:rPr>
                      <w:rFonts w:ascii="宋体" w:hAnsi="宋体"/>
                      <w:szCs w:val="21"/>
                    </w:rPr>
                  </w:pPr>
                  <w:r>
                    <w:rPr>
                      <w:rFonts w:hint="eastAsia" w:ascii="宋体" w:hAnsi="宋体"/>
                      <w:szCs w:val="21"/>
                    </w:rPr>
                    <w:t>1</w:t>
                  </w:r>
                </w:p>
              </w:tc>
              <w:tc>
                <w:tcPr>
                  <w:tcW w:w="1084" w:type="dxa"/>
                  <w:vAlign w:val="center"/>
                </w:tcPr>
                <w:p w14:paraId="51121098">
                  <w:pPr>
                    <w:pStyle w:val="10"/>
                    <w:ind w:firstLine="0" w:firstLineChars="0"/>
                    <w:jc w:val="center"/>
                    <w:rPr>
                      <w:rFonts w:ascii="宋体" w:hAnsi="宋体"/>
                      <w:szCs w:val="21"/>
                    </w:rPr>
                  </w:pPr>
                  <w:r>
                    <w:rPr>
                      <w:rFonts w:hint="eastAsia" w:ascii="宋体" w:hAnsi="宋体"/>
                      <w:szCs w:val="21"/>
                    </w:rPr>
                    <w:t>Blackboard平台运维劳务外包服务</w:t>
                  </w:r>
                </w:p>
              </w:tc>
              <w:tc>
                <w:tcPr>
                  <w:tcW w:w="3630" w:type="dxa"/>
                  <w:vAlign w:val="center"/>
                </w:tcPr>
                <w:p w14:paraId="01C7A70C">
                  <w:pPr>
                    <w:pStyle w:val="10"/>
                    <w:ind w:firstLine="0" w:firstLineChars="0"/>
                    <w:rPr>
                      <w:rFonts w:ascii="宋体" w:hAnsi="宋体"/>
                      <w:szCs w:val="21"/>
                    </w:rPr>
                  </w:pPr>
                  <w:r>
                    <w:rPr>
                      <w:rFonts w:hint="eastAsia" w:ascii="宋体" w:hAnsi="宋体"/>
                      <w:szCs w:val="21"/>
                    </w:rPr>
                    <w:t>针对Bb平台使用和配置等相关情况进行检查、诊断和分析，同时通过电话、微信、现场等方式接待并处理师生用户在Bb平台使用过程中出现的与Bb平台相关的各类技术和应用问题。负责保障Bb平台7×24小时系统安全、稳定和正常运行，在Bb平台运行期间对出现的各种软硬件资源、网络及应用技术问题可以快速定位并解决，对Bb平台各项功能模块进行每日巡检，排查各类硬件设备、软件系统及网络链路中存在的异常情况，及时处置Bb平台技术故障和安全隐患，做好巡检记录和运维台账。负责同步教务处、研究生院等校内教学单位师生账号信息及课程数据，切实保障数据及时同步和准确无误。同时要求提供一周五天，每天8小时的驻场服务。</w:t>
                  </w:r>
                </w:p>
              </w:tc>
              <w:tc>
                <w:tcPr>
                  <w:tcW w:w="410" w:type="dxa"/>
                  <w:vAlign w:val="center"/>
                </w:tcPr>
                <w:p w14:paraId="3313BD54">
                  <w:pPr>
                    <w:pStyle w:val="10"/>
                    <w:ind w:firstLine="0" w:firstLineChars="0"/>
                    <w:jc w:val="center"/>
                    <w:rPr>
                      <w:rFonts w:ascii="宋体" w:hAnsi="宋体"/>
                      <w:szCs w:val="21"/>
                    </w:rPr>
                  </w:pPr>
                  <w:r>
                    <w:rPr>
                      <w:rFonts w:hint="eastAsia" w:ascii="宋体" w:hAnsi="宋体"/>
                      <w:szCs w:val="21"/>
                    </w:rPr>
                    <w:t>1</w:t>
                  </w:r>
                </w:p>
              </w:tc>
              <w:tc>
                <w:tcPr>
                  <w:tcW w:w="410" w:type="dxa"/>
                  <w:vAlign w:val="center"/>
                </w:tcPr>
                <w:p w14:paraId="7123CADE">
                  <w:pPr>
                    <w:pStyle w:val="10"/>
                    <w:ind w:firstLine="0" w:firstLineChars="0"/>
                    <w:jc w:val="center"/>
                    <w:rPr>
                      <w:rFonts w:ascii="宋体" w:hAnsi="宋体"/>
                      <w:szCs w:val="21"/>
                    </w:rPr>
                  </w:pPr>
                  <w:r>
                    <w:rPr>
                      <w:rFonts w:hint="eastAsia" w:ascii="宋体" w:hAnsi="宋体"/>
                      <w:szCs w:val="21"/>
                    </w:rPr>
                    <w:t>项</w:t>
                  </w:r>
                </w:p>
              </w:tc>
              <w:tc>
                <w:tcPr>
                  <w:tcW w:w="904" w:type="dxa"/>
                  <w:vAlign w:val="center"/>
                </w:tcPr>
                <w:p w14:paraId="012DB343">
                  <w:pPr>
                    <w:pStyle w:val="10"/>
                    <w:ind w:firstLine="0" w:firstLineChars="0"/>
                    <w:jc w:val="center"/>
                    <w:rPr>
                      <w:rFonts w:ascii="宋体" w:hAnsi="宋体"/>
                      <w:szCs w:val="21"/>
                    </w:rPr>
                  </w:pPr>
                  <w:r>
                    <w:rPr>
                      <w:rFonts w:ascii="宋体" w:hAnsi="宋体"/>
                      <w:szCs w:val="21"/>
                    </w:rPr>
                    <w:t>175000</w:t>
                  </w:r>
                  <w:r>
                    <w:rPr>
                      <w:rFonts w:hint="eastAsia" w:ascii="宋体" w:hAnsi="宋体"/>
                      <w:szCs w:val="21"/>
                    </w:rPr>
                    <w:t>元/年</w:t>
                  </w:r>
                </w:p>
              </w:tc>
              <w:tc>
                <w:tcPr>
                  <w:tcW w:w="933" w:type="dxa"/>
                  <w:vAlign w:val="center"/>
                </w:tcPr>
                <w:p w14:paraId="4F5EACE7">
                  <w:pPr>
                    <w:pStyle w:val="10"/>
                    <w:ind w:firstLine="0" w:firstLineChars="0"/>
                    <w:jc w:val="center"/>
                    <w:rPr>
                      <w:rFonts w:ascii="宋体" w:hAnsi="宋体"/>
                      <w:szCs w:val="21"/>
                    </w:rPr>
                  </w:pPr>
                  <w:r>
                    <w:rPr>
                      <w:rFonts w:ascii="宋体" w:hAnsi="宋体"/>
                      <w:szCs w:val="21"/>
                    </w:rPr>
                    <w:t>175000</w:t>
                  </w:r>
                  <w:r>
                    <w:rPr>
                      <w:rFonts w:hint="eastAsia" w:ascii="宋体" w:hAnsi="宋体"/>
                      <w:szCs w:val="21"/>
                    </w:rPr>
                    <w:t>元/年</w:t>
                  </w:r>
                </w:p>
              </w:tc>
            </w:tr>
            <w:tr w14:paraId="2B31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5" w:type="dxa"/>
                  <w:vAlign w:val="center"/>
                </w:tcPr>
                <w:p w14:paraId="60076027">
                  <w:pPr>
                    <w:pStyle w:val="10"/>
                    <w:ind w:firstLine="0" w:firstLineChars="0"/>
                    <w:jc w:val="center"/>
                    <w:rPr>
                      <w:rFonts w:ascii="宋体" w:hAnsi="宋体"/>
                      <w:szCs w:val="21"/>
                    </w:rPr>
                  </w:pPr>
                  <w:r>
                    <w:rPr>
                      <w:rFonts w:hint="eastAsia" w:ascii="宋体" w:hAnsi="宋体"/>
                      <w:szCs w:val="21"/>
                    </w:rPr>
                    <w:t>2</w:t>
                  </w:r>
                </w:p>
              </w:tc>
              <w:tc>
                <w:tcPr>
                  <w:tcW w:w="5534" w:type="dxa"/>
                  <w:gridSpan w:val="4"/>
                  <w:vAlign w:val="center"/>
                </w:tcPr>
                <w:p w14:paraId="28D62FD6">
                  <w:pPr>
                    <w:pStyle w:val="10"/>
                    <w:ind w:firstLine="0" w:firstLineChars="0"/>
                    <w:jc w:val="center"/>
                    <w:rPr>
                      <w:rFonts w:ascii="宋体" w:hAnsi="宋体"/>
                      <w:b/>
                      <w:szCs w:val="21"/>
                    </w:rPr>
                  </w:pPr>
                  <w:r>
                    <w:rPr>
                      <w:rFonts w:hint="eastAsia" w:ascii="宋体" w:hAnsi="宋体"/>
                      <w:b/>
                      <w:szCs w:val="21"/>
                    </w:rPr>
                    <w:t>合计（一年）</w:t>
                  </w:r>
                </w:p>
              </w:tc>
              <w:tc>
                <w:tcPr>
                  <w:tcW w:w="1837" w:type="dxa"/>
                  <w:gridSpan w:val="2"/>
                  <w:vAlign w:val="center"/>
                </w:tcPr>
                <w:p w14:paraId="2F2A4602">
                  <w:pPr>
                    <w:pStyle w:val="10"/>
                    <w:ind w:firstLine="0" w:firstLineChars="0"/>
                    <w:jc w:val="center"/>
                    <w:rPr>
                      <w:rFonts w:ascii="宋体" w:hAnsi="宋体"/>
                      <w:b/>
                      <w:szCs w:val="21"/>
                    </w:rPr>
                  </w:pPr>
                  <w:r>
                    <w:rPr>
                      <w:rFonts w:ascii="宋体" w:hAnsi="宋体"/>
                      <w:szCs w:val="21"/>
                    </w:rPr>
                    <w:t>175000</w:t>
                  </w:r>
                  <w:r>
                    <w:rPr>
                      <w:rFonts w:hint="eastAsia" w:ascii="宋体" w:hAnsi="宋体"/>
                      <w:b/>
                      <w:szCs w:val="21"/>
                    </w:rPr>
                    <w:t>元/年</w:t>
                  </w:r>
                </w:p>
              </w:tc>
            </w:tr>
          </w:tbl>
          <w:p w14:paraId="22EF8870">
            <w:pPr>
              <w:pStyle w:val="3"/>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eastAsia="宋体"/>
                <w:sz w:val="21"/>
                <w:szCs w:val="21"/>
              </w:rPr>
            </w:pPr>
            <w:r>
              <w:rPr>
                <w:rFonts w:hint="eastAsia" w:ascii="宋体" w:hAnsi="宋体" w:eastAsia="宋体"/>
                <w:sz w:val="21"/>
                <w:szCs w:val="21"/>
              </w:rPr>
              <w:t>第一期付款：合同签署之后，由甲方向乙方支付合同首付款为合同款总额的50%（百分之伍拾）</w:t>
            </w:r>
            <w:r>
              <w:rPr>
                <w:rFonts w:hint="eastAsia" w:ascii="宋体" w:hAnsi="宋体" w:eastAsia="宋体"/>
                <w:sz w:val="21"/>
                <w:szCs w:val="21"/>
                <w:lang w:eastAsia="zh-CN"/>
              </w:rPr>
              <w:t>。</w:t>
            </w:r>
          </w:p>
          <w:p w14:paraId="79D583EB">
            <w:pPr>
              <w:pStyle w:val="3"/>
              <w:keepNext w:val="0"/>
              <w:keepLines w:val="0"/>
              <w:pageBreakBefore w:val="0"/>
              <w:numPr>
                <w:ilvl w:val="0"/>
                <w:numId w:val="2"/>
              </w:numPr>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eastAsia="宋体"/>
                <w:sz w:val="21"/>
                <w:szCs w:val="21"/>
              </w:rPr>
            </w:pPr>
            <w:r>
              <w:rPr>
                <w:rFonts w:hint="eastAsia" w:ascii="宋体" w:hAnsi="宋体" w:eastAsia="宋体"/>
                <w:sz w:val="21"/>
                <w:szCs w:val="21"/>
              </w:rPr>
              <w:t>第二期付款：服务期结束后经甲方职能部门进行审核终验，乙方不存在违约情形或质量问题的，由甲方向乙方支付尾款：合同款总额的50%（百分之伍拾）。乙方存在违约或质量问题的，由甲方在尾款中扣除相应违约金后予以支付。</w:t>
            </w:r>
          </w:p>
          <w:p w14:paraId="66566B0C">
            <w:pPr>
              <w:pStyle w:val="10"/>
              <w:numPr>
                <w:ilvl w:val="0"/>
                <w:numId w:val="1"/>
              </w:numPr>
              <w:spacing w:line="520" w:lineRule="exact"/>
              <w:ind w:firstLineChars="0"/>
              <w:rPr>
                <w:rFonts w:ascii="宋体" w:hAnsi="宋体" w:cs="宋体"/>
                <w:b/>
                <w:bCs/>
                <w:szCs w:val="21"/>
              </w:rPr>
            </w:pPr>
            <w:r>
              <w:rPr>
                <w:rFonts w:hint="eastAsia" w:ascii="宋体" w:hAnsi="宋体" w:cs="宋体"/>
                <w:b/>
                <w:bCs/>
                <w:szCs w:val="21"/>
              </w:rPr>
              <w:t>项目整体技术及功能要求</w:t>
            </w:r>
          </w:p>
          <w:p w14:paraId="2B50FE5F">
            <w:pPr>
              <w:spacing w:line="360" w:lineRule="auto"/>
              <w:ind w:firstLine="480" w:firstLineChars="200"/>
              <w:rPr>
                <w:sz w:val="24"/>
              </w:rPr>
            </w:pPr>
            <w:r>
              <w:rPr>
                <w:rFonts w:hint="eastAsia"/>
                <w:sz w:val="24"/>
              </w:rPr>
              <w:t>本项目包含的外包服务考核分为月度考核、年度考核、师生反馈情况和领导检查情况对服务公司进行综合考核。如果存在考核不合格的情况，将按照合同约定扣除合同款。</w:t>
            </w:r>
          </w:p>
          <w:p w14:paraId="74630D8E">
            <w:pPr>
              <w:pStyle w:val="10"/>
              <w:numPr>
                <w:ilvl w:val="0"/>
                <w:numId w:val="3"/>
              </w:numPr>
              <w:spacing w:line="360" w:lineRule="auto"/>
              <w:ind w:firstLineChars="0"/>
              <w:rPr>
                <w:rFonts w:ascii="宋体" w:hAnsi="宋体"/>
                <w:sz w:val="24"/>
              </w:rPr>
            </w:pPr>
            <w:r>
              <w:rPr>
                <w:rFonts w:hint="eastAsia" w:ascii="宋体" w:hAnsi="宋体"/>
                <w:sz w:val="24"/>
              </w:rPr>
              <w:t>服务内容</w:t>
            </w:r>
          </w:p>
          <w:tbl>
            <w:tblPr>
              <w:tblStyle w:val="8"/>
              <w:tblW w:w="8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61"/>
              <w:gridCol w:w="6452"/>
            </w:tblGrid>
            <w:tr w14:paraId="6D22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85" w:type="dxa"/>
                  <w:vAlign w:val="center"/>
                </w:tcPr>
                <w:p w14:paraId="6BAD8FFD">
                  <w:pPr>
                    <w:jc w:val="center"/>
                    <w:rPr>
                      <w:rFonts w:ascii="宋体" w:hAnsi="宋体"/>
                      <w:b/>
                      <w:szCs w:val="21"/>
                    </w:rPr>
                  </w:pPr>
                  <w:r>
                    <w:rPr>
                      <w:rFonts w:hint="eastAsia" w:ascii="宋体" w:hAnsi="宋体"/>
                      <w:b/>
                      <w:szCs w:val="21"/>
                    </w:rPr>
                    <w:t>序号</w:t>
                  </w:r>
                </w:p>
              </w:tc>
              <w:tc>
                <w:tcPr>
                  <w:tcW w:w="1061" w:type="dxa"/>
                  <w:vAlign w:val="center"/>
                </w:tcPr>
                <w:p w14:paraId="7C79CF79">
                  <w:pPr>
                    <w:jc w:val="center"/>
                    <w:rPr>
                      <w:rFonts w:ascii="宋体" w:hAnsi="宋体"/>
                      <w:b/>
                      <w:szCs w:val="21"/>
                    </w:rPr>
                  </w:pPr>
                  <w:r>
                    <w:rPr>
                      <w:rFonts w:hint="eastAsia" w:ascii="宋体" w:hAnsi="宋体"/>
                      <w:b/>
                      <w:szCs w:val="21"/>
                    </w:rPr>
                    <w:t>指标项</w:t>
                  </w:r>
                </w:p>
              </w:tc>
              <w:tc>
                <w:tcPr>
                  <w:tcW w:w="6452" w:type="dxa"/>
                  <w:vAlign w:val="center"/>
                </w:tcPr>
                <w:p w14:paraId="68194AD1">
                  <w:pPr>
                    <w:jc w:val="center"/>
                    <w:rPr>
                      <w:rFonts w:ascii="宋体" w:hAnsi="宋体"/>
                      <w:b/>
                      <w:szCs w:val="21"/>
                    </w:rPr>
                  </w:pPr>
                  <w:r>
                    <w:rPr>
                      <w:rFonts w:hint="eastAsia" w:ascii="宋体" w:hAnsi="宋体"/>
                      <w:b/>
                      <w:szCs w:val="21"/>
                    </w:rPr>
                    <w:t>指标描述</w:t>
                  </w:r>
                </w:p>
              </w:tc>
            </w:tr>
            <w:tr w14:paraId="06B2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585" w:type="dxa"/>
                  <w:vAlign w:val="center"/>
                </w:tcPr>
                <w:p w14:paraId="507E8B74">
                  <w:pPr>
                    <w:jc w:val="center"/>
                    <w:rPr>
                      <w:rFonts w:ascii="宋体" w:hAnsi="宋体"/>
                      <w:szCs w:val="21"/>
                    </w:rPr>
                  </w:pPr>
                  <w:r>
                    <w:rPr>
                      <w:rFonts w:hint="eastAsia" w:ascii="宋体" w:hAnsi="宋体"/>
                      <w:szCs w:val="21"/>
                    </w:rPr>
                    <w:t>1</w:t>
                  </w:r>
                </w:p>
              </w:tc>
              <w:tc>
                <w:tcPr>
                  <w:tcW w:w="1061" w:type="dxa"/>
                  <w:vAlign w:val="center"/>
                </w:tcPr>
                <w:p w14:paraId="21B8AE65">
                  <w:pPr>
                    <w:jc w:val="center"/>
                    <w:rPr>
                      <w:rFonts w:ascii="宋体" w:hAnsi="宋体"/>
                      <w:szCs w:val="21"/>
                    </w:rPr>
                  </w:pPr>
                  <w:r>
                    <w:rPr>
                      <w:rFonts w:hint="eastAsia" w:ascii="宋体" w:hAnsi="宋体"/>
                      <w:szCs w:val="21"/>
                    </w:rPr>
                    <w:t>用户服务</w:t>
                  </w:r>
                </w:p>
              </w:tc>
              <w:tc>
                <w:tcPr>
                  <w:tcW w:w="6452" w:type="dxa"/>
                  <w:vAlign w:val="center"/>
                </w:tcPr>
                <w:p w14:paraId="45071695">
                  <w:pPr>
                    <w:rPr>
                      <w:rFonts w:ascii="宋体" w:hAnsi="宋体"/>
                      <w:szCs w:val="21"/>
                    </w:rPr>
                  </w:pPr>
                  <w:r>
                    <w:rPr>
                      <w:rFonts w:hint="eastAsia" w:ascii="宋体" w:hAnsi="宋体"/>
                      <w:szCs w:val="21"/>
                    </w:rPr>
                    <w:t>针对Blackboard在线教学管理平台（以下简称Bb平台）使用和配置等相关情况进行检查、诊断和分析，同时通过电话、微信、现场等方式接待并处理师生用户在Bb平台使用过程中出现的与Bb平台相关的各类技术和应用问题。</w:t>
                  </w:r>
                </w:p>
              </w:tc>
            </w:tr>
            <w:tr w14:paraId="4339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585" w:type="dxa"/>
                  <w:vAlign w:val="center"/>
                </w:tcPr>
                <w:p w14:paraId="0D2F7B19">
                  <w:pPr>
                    <w:jc w:val="center"/>
                    <w:rPr>
                      <w:rFonts w:ascii="宋体" w:hAnsi="宋体"/>
                      <w:szCs w:val="21"/>
                    </w:rPr>
                  </w:pPr>
                  <w:r>
                    <w:rPr>
                      <w:rFonts w:hint="eastAsia" w:ascii="宋体" w:hAnsi="宋体"/>
                      <w:szCs w:val="21"/>
                    </w:rPr>
                    <w:t>2</w:t>
                  </w:r>
                </w:p>
              </w:tc>
              <w:tc>
                <w:tcPr>
                  <w:tcW w:w="1061" w:type="dxa"/>
                  <w:vAlign w:val="center"/>
                </w:tcPr>
                <w:p w14:paraId="719220CE">
                  <w:pPr>
                    <w:jc w:val="center"/>
                    <w:rPr>
                      <w:rFonts w:ascii="宋体" w:hAnsi="宋体"/>
                      <w:szCs w:val="21"/>
                    </w:rPr>
                  </w:pPr>
                  <w:r>
                    <w:rPr>
                      <w:rFonts w:hint="eastAsia" w:ascii="宋体" w:hAnsi="宋体"/>
                      <w:szCs w:val="21"/>
                    </w:rPr>
                    <w:t>日常运维服务</w:t>
                  </w:r>
                </w:p>
              </w:tc>
              <w:tc>
                <w:tcPr>
                  <w:tcW w:w="6452" w:type="dxa"/>
                  <w:vAlign w:val="center"/>
                </w:tcPr>
                <w:p w14:paraId="0E017DEB">
                  <w:pPr>
                    <w:rPr>
                      <w:rFonts w:ascii="宋体" w:hAnsi="宋体"/>
                      <w:szCs w:val="21"/>
                    </w:rPr>
                  </w:pPr>
                  <w:r>
                    <w:rPr>
                      <w:rFonts w:hint="eastAsia" w:ascii="宋体" w:hAnsi="宋体"/>
                      <w:szCs w:val="21"/>
                    </w:rPr>
                    <w:t>负责保障Bb平台7×24小时安全、稳定和正常运行，在Bb平台运行期间对出现的各种软硬件资源、网络及应用技术问题可以快速定位并解决；在日常工作中可以不断优化平台架构和部署的合理性，提升平台服务的稳定性和可用性；对Bb平台各项功能模块进行每日巡检，排查各类硬件设备、软件系统及网络链路中存在的异常情况，及时处置Bb平台技术故障和安全隐患，做好巡检记录和运维台账。</w:t>
                  </w:r>
                </w:p>
              </w:tc>
            </w:tr>
            <w:tr w14:paraId="20F9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585" w:type="dxa"/>
                  <w:vAlign w:val="center"/>
                </w:tcPr>
                <w:p w14:paraId="7D48D04F">
                  <w:pPr>
                    <w:jc w:val="center"/>
                    <w:rPr>
                      <w:rFonts w:ascii="宋体" w:hAnsi="宋体"/>
                      <w:szCs w:val="21"/>
                    </w:rPr>
                  </w:pPr>
                  <w:r>
                    <w:rPr>
                      <w:rFonts w:hint="eastAsia" w:ascii="宋体" w:hAnsi="宋体"/>
                      <w:szCs w:val="21"/>
                    </w:rPr>
                    <w:t>3</w:t>
                  </w:r>
                </w:p>
              </w:tc>
              <w:tc>
                <w:tcPr>
                  <w:tcW w:w="1061" w:type="dxa"/>
                  <w:vAlign w:val="center"/>
                </w:tcPr>
                <w:p w14:paraId="6D6C68FF">
                  <w:pPr>
                    <w:jc w:val="center"/>
                    <w:rPr>
                      <w:rFonts w:ascii="宋体" w:hAnsi="宋体"/>
                      <w:szCs w:val="21"/>
                    </w:rPr>
                  </w:pPr>
                  <w:r>
                    <w:rPr>
                      <w:rFonts w:hint="eastAsia" w:ascii="宋体" w:hAnsi="宋体"/>
                      <w:szCs w:val="21"/>
                    </w:rPr>
                    <w:t>数据交换与同步服务</w:t>
                  </w:r>
                </w:p>
              </w:tc>
              <w:tc>
                <w:tcPr>
                  <w:tcW w:w="6452" w:type="dxa"/>
                  <w:vAlign w:val="center"/>
                </w:tcPr>
                <w:p w14:paraId="7304FA0A">
                  <w:pPr>
                    <w:rPr>
                      <w:rFonts w:ascii="宋体" w:hAnsi="宋体"/>
                      <w:szCs w:val="21"/>
                    </w:rPr>
                  </w:pPr>
                  <w:r>
                    <w:rPr>
                      <w:rFonts w:hint="eastAsia" w:ascii="宋体" w:hAnsi="宋体"/>
                      <w:szCs w:val="21"/>
                    </w:rPr>
                    <w:t>负责保障Bb平台与我校统一身份认证系统API接口、本科及研究生教务系统数据交换组件的安全、稳定和正常运行。具体保障Bb平台与我校统一身份认证系统的师生用户账号信息，本科和研究生等教务系统内的课表、课程、考试、学分、评教、课件等相关教学数据及授课文件的实时同步和共享。</w:t>
                  </w:r>
                </w:p>
              </w:tc>
            </w:tr>
            <w:tr w14:paraId="1092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585" w:type="dxa"/>
                  <w:vAlign w:val="center"/>
                </w:tcPr>
                <w:p w14:paraId="73C6B9DC">
                  <w:pPr>
                    <w:jc w:val="center"/>
                    <w:rPr>
                      <w:rFonts w:ascii="宋体" w:hAnsi="宋体"/>
                      <w:szCs w:val="21"/>
                    </w:rPr>
                  </w:pPr>
                  <w:r>
                    <w:rPr>
                      <w:rFonts w:hint="eastAsia" w:ascii="宋体" w:hAnsi="宋体"/>
                      <w:szCs w:val="21"/>
                    </w:rPr>
                    <w:t>4</w:t>
                  </w:r>
                </w:p>
              </w:tc>
              <w:tc>
                <w:tcPr>
                  <w:tcW w:w="1061" w:type="dxa"/>
                  <w:vAlign w:val="center"/>
                </w:tcPr>
                <w:p w14:paraId="29D52CE7">
                  <w:pPr>
                    <w:jc w:val="center"/>
                    <w:rPr>
                      <w:rFonts w:ascii="宋体" w:hAnsi="宋体"/>
                      <w:szCs w:val="21"/>
                    </w:rPr>
                  </w:pPr>
                  <w:r>
                    <w:rPr>
                      <w:rFonts w:hint="eastAsia" w:ascii="宋体" w:hAnsi="宋体"/>
                      <w:szCs w:val="21"/>
                    </w:rPr>
                    <w:t>数据安全保障服务</w:t>
                  </w:r>
                </w:p>
              </w:tc>
              <w:tc>
                <w:tcPr>
                  <w:tcW w:w="6452" w:type="dxa"/>
                  <w:vAlign w:val="center"/>
                </w:tcPr>
                <w:p w14:paraId="722856AF">
                  <w:pPr>
                    <w:rPr>
                      <w:rFonts w:ascii="宋体" w:hAnsi="宋体"/>
                      <w:szCs w:val="21"/>
                    </w:rPr>
                  </w:pPr>
                  <w:r>
                    <w:rPr>
                      <w:rFonts w:hint="eastAsia" w:ascii="宋体" w:hAnsi="宋体"/>
                      <w:szCs w:val="21"/>
                    </w:rPr>
                    <w:t>负责保障Bb平台7×24小时网络及数据安全，实时监测Bb平台硬件设备及应用软件的安全性和合规性，收集系统运行日志，一旦发现安全漏洞、网络攻击和信息泄漏等情况，应及时上报</w:t>
                  </w:r>
                  <w:r>
                    <w:rPr>
                      <w:rFonts w:hint="eastAsia" w:ascii="宋体" w:hAnsi="宋体"/>
                      <w:szCs w:val="21"/>
                      <w:lang w:val="en-US" w:eastAsia="zh-CN"/>
                    </w:rPr>
                    <w:t>教务处</w:t>
                  </w:r>
                  <w:r>
                    <w:rPr>
                      <w:rFonts w:hint="eastAsia" w:ascii="宋体" w:hAnsi="宋体"/>
                      <w:szCs w:val="21"/>
                    </w:rPr>
                    <w:t>业务主管和Bb平台开发商负责人。制定教学信息、课程文件等数据的备份策略，定期针对Bb平台数据进行增量备份和全量备份；制定Bb平台灾难恢复应急预案，定期针对平台进行灾难恢复演练，同时做好数据备份和灾难恢复应急演练的操作记录和工作台账。</w:t>
                  </w:r>
                </w:p>
              </w:tc>
            </w:tr>
            <w:tr w14:paraId="5ED6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85" w:type="dxa"/>
                  <w:vAlign w:val="center"/>
                </w:tcPr>
                <w:p w14:paraId="7A2C30EF">
                  <w:pPr>
                    <w:jc w:val="center"/>
                    <w:rPr>
                      <w:rFonts w:ascii="宋体" w:hAnsi="宋体"/>
                      <w:szCs w:val="21"/>
                    </w:rPr>
                  </w:pPr>
                  <w:r>
                    <w:rPr>
                      <w:rFonts w:hint="eastAsia" w:ascii="宋体" w:hAnsi="宋体"/>
                      <w:szCs w:val="21"/>
                    </w:rPr>
                    <w:t>5</w:t>
                  </w:r>
                </w:p>
              </w:tc>
              <w:tc>
                <w:tcPr>
                  <w:tcW w:w="1061" w:type="dxa"/>
                  <w:vAlign w:val="center"/>
                </w:tcPr>
                <w:p w14:paraId="0C5E3C9C">
                  <w:pPr>
                    <w:jc w:val="center"/>
                    <w:rPr>
                      <w:rFonts w:ascii="宋体" w:hAnsi="宋体"/>
                      <w:szCs w:val="21"/>
                    </w:rPr>
                  </w:pPr>
                  <w:r>
                    <w:rPr>
                      <w:rFonts w:hint="eastAsia" w:ascii="宋体" w:hAnsi="宋体"/>
                      <w:szCs w:val="21"/>
                    </w:rPr>
                    <w:t>系统调优服务</w:t>
                  </w:r>
                </w:p>
              </w:tc>
              <w:tc>
                <w:tcPr>
                  <w:tcW w:w="6452" w:type="dxa"/>
                  <w:vAlign w:val="center"/>
                </w:tcPr>
                <w:p w14:paraId="1647E2D9">
                  <w:pPr>
                    <w:rPr>
                      <w:rFonts w:ascii="宋体" w:hAnsi="宋体"/>
                      <w:szCs w:val="21"/>
                    </w:rPr>
                  </w:pPr>
                  <w:r>
                    <w:rPr>
                      <w:rFonts w:hint="eastAsia" w:ascii="宋体" w:hAnsi="宋体"/>
                      <w:szCs w:val="21"/>
                    </w:rPr>
                    <w:t>使用自动化的分析工具提升平台在研发生命周期中的工程效率。通过技术手段优化应用服务架构、数据库性能调优，通过资源优化组合降低运营成本、提升ROI。持续改善师生用户使用体验。</w:t>
                  </w:r>
                </w:p>
              </w:tc>
            </w:tr>
          </w:tbl>
          <w:p w14:paraId="22D6B736">
            <w:pPr>
              <w:pStyle w:val="10"/>
              <w:numPr>
                <w:ilvl w:val="0"/>
                <w:numId w:val="3"/>
              </w:numPr>
              <w:spacing w:line="360" w:lineRule="auto"/>
              <w:ind w:firstLineChars="0"/>
              <w:rPr>
                <w:rFonts w:ascii="宋体" w:hAnsi="宋体"/>
                <w:sz w:val="24"/>
              </w:rPr>
            </w:pPr>
            <w:r>
              <w:rPr>
                <w:rFonts w:hint="eastAsia" w:ascii="宋体" w:hAnsi="宋体"/>
                <w:sz w:val="24"/>
              </w:rPr>
              <w:t>服务要求</w:t>
            </w:r>
          </w:p>
          <w:p w14:paraId="2116C78C">
            <w:pPr>
              <w:spacing w:line="360" w:lineRule="auto"/>
              <w:ind w:firstLine="480" w:firstLineChars="200"/>
              <w:rPr>
                <w:rFonts w:ascii="宋体" w:hAnsi="宋体"/>
                <w:sz w:val="24"/>
                <w:szCs w:val="24"/>
              </w:rPr>
            </w:pPr>
            <w:r>
              <w:rPr>
                <w:rFonts w:hint="eastAsia" w:ascii="宋体" w:hAnsi="宋体"/>
                <w:sz w:val="24"/>
                <w:szCs w:val="24"/>
              </w:rPr>
              <w:t>运维服务人员工作必须严格遵守</w:t>
            </w:r>
            <w:r>
              <w:rPr>
                <w:rFonts w:hint="eastAsia" w:ascii="宋体" w:hAnsi="宋体"/>
                <w:sz w:val="24"/>
                <w:szCs w:val="24"/>
                <w:lang w:val="en-US" w:eastAsia="zh-CN"/>
              </w:rPr>
              <w:t>学校相关</w:t>
            </w:r>
            <w:r>
              <w:rPr>
                <w:rFonts w:hint="eastAsia" w:ascii="宋体" w:hAnsi="宋体"/>
                <w:sz w:val="24"/>
                <w:szCs w:val="24"/>
              </w:rPr>
              <w:t>规定。严禁在工作时间打游戏、看网络视频、刷手机，或做其他与工作无关的事情。服务公司为甲方提供的运维服务包括日常系统巡检、功能答疑等。</w:t>
            </w:r>
          </w:p>
          <w:tbl>
            <w:tblPr>
              <w:tblStyle w:val="8"/>
              <w:tblW w:w="8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290"/>
              <w:gridCol w:w="6186"/>
            </w:tblGrid>
            <w:tr w14:paraId="5483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82" w:type="dxa"/>
                  <w:vAlign w:val="center"/>
                </w:tcPr>
                <w:p w14:paraId="01F21B82">
                  <w:pPr>
                    <w:jc w:val="center"/>
                    <w:rPr>
                      <w:rFonts w:ascii="宋体" w:hAnsi="宋体"/>
                      <w:b/>
                      <w:szCs w:val="21"/>
                    </w:rPr>
                  </w:pPr>
                  <w:r>
                    <w:rPr>
                      <w:rFonts w:hint="eastAsia" w:ascii="宋体" w:hAnsi="宋体"/>
                      <w:b/>
                      <w:szCs w:val="21"/>
                    </w:rPr>
                    <w:t>序号</w:t>
                  </w:r>
                </w:p>
              </w:tc>
              <w:tc>
                <w:tcPr>
                  <w:tcW w:w="1290" w:type="dxa"/>
                  <w:vAlign w:val="center"/>
                </w:tcPr>
                <w:p w14:paraId="4015EEF1">
                  <w:pPr>
                    <w:jc w:val="center"/>
                    <w:rPr>
                      <w:rFonts w:ascii="宋体" w:hAnsi="宋体"/>
                      <w:b/>
                      <w:szCs w:val="21"/>
                    </w:rPr>
                  </w:pPr>
                  <w:r>
                    <w:rPr>
                      <w:rFonts w:hint="eastAsia" w:ascii="宋体" w:hAnsi="宋体"/>
                      <w:b/>
                      <w:szCs w:val="21"/>
                    </w:rPr>
                    <w:t>指标项</w:t>
                  </w:r>
                </w:p>
              </w:tc>
              <w:tc>
                <w:tcPr>
                  <w:tcW w:w="6186" w:type="dxa"/>
                  <w:vAlign w:val="center"/>
                </w:tcPr>
                <w:p w14:paraId="247C6D8B">
                  <w:pPr>
                    <w:jc w:val="center"/>
                    <w:rPr>
                      <w:rFonts w:ascii="宋体" w:hAnsi="宋体"/>
                      <w:b/>
                      <w:szCs w:val="21"/>
                    </w:rPr>
                  </w:pPr>
                  <w:r>
                    <w:rPr>
                      <w:rFonts w:hint="eastAsia" w:ascii="宋体" w:hAnsi="宋体"/>
                      <w:b/>
                      <w:szCs w:val="21"/>
                    </w:rPr>
                    <w:t>指标描述</w:t>
                  </w:r>
                </w:p>
              </w:tc>
            </w:tr>
            <w:tr w14:paraId="4689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82" w:type="dxa"/>
                  <w:vAlign w:val="center"/>
                </w:tcPr>
                <w:p w14:paraId="49E49078">
                  <w:pPr>
                    <w:jc w:val="center"/>
                    <w:rPr>
                      <w:rFonts w:ascii="宋体" w:hAnsi="宋体"/>
                      <w:szCs w:val="21"/>
                    </w:rPr>
                  </w:pPr>
                  <w:r>
                    <w:rPr>
                      <w:rFonts w:hint="eastAsia" w:ascii="宋体" w:hAnsi="宋体"/>
                      <w:szCs w:val="21"/>
                    </w:rPr>
                    <w:t>1</w:t>
                  </w:r>
                </w:p>
              </w:tc>
              <w:tc>
                <w:tcPr>
                  <w:tcW w:w="1290" w:type="dxa"/>
                  <w:vMerge w:val="restart"/>
                  <w:vAlign w:val="center"/>
                </w:tcPr>
                <w:p w14:paraId="60871B64">
                  <w:pPr>
                    <w:jc w:val="center"/>
                    <w:rPr>
                      <w:rFonts w:ascii="宋体" w:hAnsi="宋体"/>
                      <w:szCs w:val="21"/>
                    </w:rPr>
                  </w:pPr>
                  <w:r>
                    <w:rPr>
                      <w:rFonts w:hint="eastAsia" w:ascii="宋体" w:hAnsi="宋体"/>
                      <w:szCs w:val="21"/>
                    </w:rPr>
                    <w:t>日常服务要求</w:t>
                  </w:r>
                </w:p>
              </w:tc>
              <w:tc>
                <w:tcPr>
                  <w:tcW w:w="6186" w:type="dxa"/>
                  <w:vAlign w:val="center"/>
                </w:tcPr>
                <w:p w14:paraId="3A32B654">
                  <w:pPr>
                    <w:rPr>
                      <w:rFonts w:ascii="宋体" w:hAnsi="宋体"/>
                      <w:szCs w:val="21"/>
                    </w:rPr>
                  </w:pPr>
                  <w:r>
                    <w:rPr>
                      <w:rFonts w:hint="eastAsia" w:ascii="宋体" w:hAnsi="宋体"/>
                      <w:szCs w:val="21"/>
                    </w:rPr>
                    <w:t>接到报修后，必须在24小时内排除常见的平台及应用软件故障，如遇到无法处理的故障，第一时间上报</w:t>
                  </w:r>
                  <w:r>
                    <w:rPr>
                      <w:rFonts w:hint="eastAsia" w:ascii="宋体" w:hAnsi="宋体"/>
                      <w:szCs w:val="21"/>
                      <w:lang w:val="en-US" w:eastAsia="zh-CN"/>
                    </w:rPr>
                    <w:t>教务处</w:t>
                  </w:r>
                  <w:r>
                    <w:rPr>
                      <w:rFonts w:hint="eastAsia" w:ascii="宋体" w:hAnsi="宋体"/>
                      <w:szCs w:val="21"/>
                    </w:rPr>
                    <w:t>业务主管及Bb平台开发商负责人。</w:t>
                  </w:r>
                </w:p>
              </w:tc>
            </w:tr>
            <w:tr w14:paraId="613E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582" w:type="dxa"/>
                  <w:vAlign w:val="center"/>
                </w:tcPr>
                <w:p w14:paraId="229AB399">
                  <w:pPr>
                    <w:jc w:val="center"/>
                    <w:rPr>
                      <w:rFonts w:ascii="宋体" w:hAnsi="宋体"/>
                      <w:szCs w:val="21"/>
                    </w:rPr>
                  </w:pPr>
                  <w:r>
                    <w:rPr>
                      <w:rFonts w:ascii="宋体" w:hAnsi="宋体"/>
                      <w:szCs w:val="21"/>
                    </w:rPr>
                    <w:t>2</w:t>
                  </w:r>
                </w:p>
              </w:tc>
              <w:tc>
                <w:tcPr>
                  <w:tcW w:w="1290" w:type="dxa"/>
                  <w:vMerge w:val="continue"/>
                  <w:vAlign w:val="center"/>
                </w:tcPr>
                <w:p w14:paraId="23E8CBE0">
                  <w:pPr>
                    <w:jc w:val="center"/>
                    <w:rPr>
                      <w:rFonts w:ascii="宋体" w:hAnsi="宋体"/>
                      <w:szCs w:val="21"/>
                    </w:rPr>
                  </w:pPr>
                </w:p>
              </w:tc>
              <w:tc>
                <w:tcPr>
                  <w:tcW w:w="6186" w:type="dxa"/>
                  <w:vAlign w:val="center"/>
                </w:tcPr>
                <w:p w14:paraId="34E21B4E">
                  <w:pPr>
                    <w:rPr>
                      <w:rFonts w:ascii="宋体" w:hAnsi="宋体"/>
                      <w:szCs w:val="21"/>
                    </w:rPr>
                  </w:pPr>
                  <w:r>
                    <w:rPr>
                      <w:rFonts w:hint="eastAsia" w:ascii="宋体" w:hAnsi="宋体"/>
                      <w:szCs w:val="21"/>
                    </w:rPr>
                    <w:t>做好Bb平台的软硬件维护工作，保证Bb平台功能完好和数据安全，满足日常的教育教学需要。</w:t>
                  </w:r>
                </w:p>
              </w:tc>
            </w:tr>
            <w:tr w14:paraId="4AA1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82" w:type="dxa"/>
                  <w:vAlign w:val="center"/>
                </w:tcPr>
                <w:p w14:paraId="2DDEFCD1">
                  <w:pPr>
                    <w:jc w:val="center"/>
                    <w:rPr>
                      <w:rFonts w:ascii="宋体" w:hAnsi="宋体"/>
                      <w:szCs w:val="21"/>
                    </w:rPr>
                  </w:pPr>
                  <w:r>
                    <w:rPr>
                      <w:rFonts w:hint="eastAsia" w:ascii="宋体" w:hAnsi="宋体"/>
                      <w:szCs w:val="21"/>
                    </w:rPr>
                    <w:t>3</w:t>
                  </w:r>
                </w:p>
              </w:tc>
              <w:tc>
                <w:tcPr>
                  <w:tcW w:w="1290" w:type="dxa"/>
                  <w:vMerge w:val="continue"/>
                  <w:vAlign w:val="center"/>
                </w:tcPr>
                <w:p w14:paraId="5E95AE53">
                  <w:pPr>
                    <w:jc w:val="center"/>
                    <w:rPr>
                      <w:rFonts w:ascii="宋体" w:hAnsi="宋体"/>
                      <w:szCs w:val="21"/>
                    </w:rPr>
                  </w:pPr>
                </w:p>
              </w:tc>
              <w:tc>
                <w:tcPr>
                  <w:tcW w:w="6186" w:type="dxa"/>
                  <w:vAlign w:val="center"/>
                </w:tcPr>
                <w:p w14:paraId="2F4D7C2C">
                  <w:pPr>
                    <w:rPr>
                      <w:rFonts w:ascii="宋体" w:hAnsi="宋体"/>
                      <w:szCs w:val="21"/>
                    </w:rPr>
                  </w:pPr>
                  <w:r>
                    <w:rPr>
                      <w:rFonts w:hint="eastAsia" w:ascii="宋体" w:hAnsi="宋体"/>
                      <w:szCs w:val="21"/>
                    </w:rPr>
                    <w:t>为尽早发现各种隐患，应对Bb平台进行每月不少于两次的定期巡检。</w:t>
                  </w:r>
                </w:p>
              </w:tc>
            </w:tr>
            <w:tr w14:paraId="225E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2" w:hRule="atLeast"/>
              </w:trPr>
              <w:tc>
                <w:tcPr>
                  <w:tcW w:w="582" w:type="dxa"/>
                  <w:vAlign w:val="center"/>
                </w:tcPr>
                <w:p w14:paraId="2DA778E2">
                  <w:pPr>
                    <w:jc w:val="center"/>
                    <w:rPr>
                      <w:rFonts w:ascii="宋体" w:hAnsi="宋体"/>
                      <w:szCs w:val="21"/>
                    </w:rPr>
                  </w:pPr>
                  <w:r>
                    <w:rPr>
                      <w:rFonts w:hint="eastAsia" w:ascii="宋体" w:hAnsi="宋体"/>
                      <w:szCs w:val="21"/>
                    </w:rPr>
                    <w:t>4</w:t>
                  </w:r>
                </w:p>
              </w:tc>
              <w:tc>
                <w:tcPr>
                  <w:tcW w:w="1290" w:type="dxa"/>
                  <w:vMerge w:val="continue"/>
                  <w:vAlign w:val="center"/>
                </w:tcPr>
                <w:p w14:paraId="0CD53139">
                  <w:pPr>
                    <w:jc w:val="center"/>
                    <w:rPr>
                      <w:rFonts w:ascii="宋体" w:hAnsi="宋体"/>
                      <w:szCs w:val="21"/>
                    </w:rPr>
                  </w:pPr>
                </w:p>
              </w:tc>
              <w:tc>
                <w:tcPr>
                  <w:tcW w:w="6186" w:type="dxa"/>
                  <w:vAlign w:val="center"/>
                </w:tcPr>
                <w:p w14:paraId="69CE173E">
                  <w:pPr>
                    <w:rPr>
                      <w:rFonts w:ascii="宋体" w:hAnsi="宋体"/>
                      <w:szCs w:val="21"/>
                    </w:rPr>
                  </w:pPr>
                  <w:r>
                    <w:rPr>
                      <w:rFonts w:hint="eastAsia" w:ascii="宋体" w:hAnsi="宋体"/>
                      <w:szCs w:val="21"/>
                    </w:rPr>
                    <w:t>严格按照Bb平台技术维护的说明要求，进行维护操作，对重要的系统配置及教学数据每日进行增量备份，每月进行异地全量备份。</w:t>
                  </w:r>
                </w:p>
              </w:tc>
            </w:tr>
            <w:tr w14:paraId="3294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582" w:type="dxa"/>
                  <w:vAlign w:val="center"/>
                </w:tcPr>
                <w:p w14:paraId="2436A02D">
                  <w:pPr>
                    <w:jc w:val="center"/>
                    <w:rPr>
                      <w:rFonts w:ascii="宋体" w:hAnsi="宋体"/>
                      <w:szCs w:val="21"/>
                    </w:rPr>
                  </w:pPr>
                  <w:r>
                    <w:rPr>
                      <w:rFonts w:hint="eastAsia" w:ascii="宋体" w:hAnsi="宋体"/>
                      <w:szCs w:val="21"/>
                    </w:rPr>
                    <w:t>5</w:t>
                  </w:r>
                </w:p>
              </w:tc>
              <w:tc>
                <w:tcPr>
                  <w:tcW w:w="1290" w:type="dxa"/>
                  <w:vMerge w:val="continue"/>
                  <w:vAlign w:val="center"/>
                </w:tcPr>
                <w:p w14:paraId="5EAB9C29">
                  <w:pPr>
                    <w:jc w:val="center"/>
                    <w:rPr>
                      <w:rFonts w:ascii="宋体" w:hAnsi="宋体"/>
                      <w:szCs w:val="21"/>
                    </w:rPr>
                  </w:pPr>
                </w:p>
              </w:tc>
              <w:tc>
                <w:tcPr>
                  <w:tcW w:w="6186" w:type="dxa"/>
                  <w:vAlign w:val="center"/>
                </w:tcPr>
                <w:p w14:paraId="7892CB79">
                  <w:pPr>
                    <w:rPr>
                      <w:rFonts w:ascii="宋体" w:hAnsi="宋体"/>
                      <w:szCs w:val="21"/>
                    </w:rPr>
                  </w:pPr>
                  <w:r>
                    <w:rPr>
                      <w:rFonts w:hint="eastAsia" w:ascii="宋体" w:hAnsi="宋体"/>
                      <w:szCs w:val="21"/>
                    </w:rPr>
                    <w:t>接到服务报修，应快速响应，并注意服务态度、语调、口气，杜绝与师生发生口角或冲突，做到反应迅速，对服务台人员提交的故障报修及时处理并及时反馈处理结果，对老师在线授课中遇到使用问题及时给予帮助和技术服务。</w:t>
                  </w:r>
                </w:p>
              </w:tc>
            </w:tr>
            <w:tr w14:paraId="142A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82" w:type="dxa"/>
                  <w:vAlign w:val="center"/>
                </w:tcPr>
                <w:p w14:paraId="158028C8">
                  <w:pPr>
                    <w:jc w:val="center"/>
                    <w:rPr>
                      <w:rFonts w:ascii="宋体" w:hAnsi="宋体"/>
                      <w:szCs w:val="21"/>
                    </w:rPr>
                  </w:pPr>
                  <w:r>
                    <w:rPr>
                      <w:rFonts w:hint="eastAsia" w:ascii="宋体" w:hAnsi="宋体"/>
                      <w:szCs w:val="21"/>
                    </w:rPr>
                    <w:t>6</w:t>
                  </w:r>
                </w:p>
              </w:tc>
              <w:tc>
                <w:tcPr>
                  <w:tcW w:w="1290" w:type="dxa"/>
                  <w:vMerge w:val="restart"/>
                  <w:vAlign w:val="center"/>
                </w:tcPr>
                <w:p w14:paraId="70A939C0">
                  <w:pPr>
                    <w:jc w:val="center"/>
                    <w:rPr>
                      <w:rFonts w:ascii="宋体" w:hAnsi="宋体"/>
                      <w:szCs w:val="21"/>
                    </w:rPr>
                  </w:pPr>
                  <w:r>
                    <w:rPr>
                      <w:rFonts w:hint="eastAsia" w:ascii="宋体" w:hAnsi="宋体"/>
                      <w:szCs w:val="21"/>
                    </w:rPr>
                    <w:t>服务记录要求</w:t>
                  </w:r>
                </w:p>
              </w:tc>
              <w:tc>
                <w:tcPr>
                  <w:tcW w:w="6186" w:type="dxa"/>
                  <w:vAlign w:val="center"/>
                </w:tcPr>
                <w:p w14:paraId="27196453">
                  <w:pPr>
                    <w:rPr>
                      <w:rFonts w:ascii="宋体" w:hAnsi="宋体"/>
                      <w:szCs w:val="21"/>
                    </w:rPr>
                  </w:pPr>
                  <w:r>
                    <w:rPr>
                      <w:rFonts w:hint="eastAsia" w:ascii="宋体" w:hAnsi="宋体"/>
                      <w:szCs w:val="21"/>
                    </w:rPr>
                    <w:t>具有快速处理和解决问题的能力，针对系统问题和软件故障，临时应急处理后必须彻底解决，并对系统及时恢复，不遗留问题，杜绝同类故障的二次发生。</w:t>
                  </w:r>
                </w:p>
              </w:tc>
            </w:tr>
            <w:tr w14:paraId="6A13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82" w:type="dxa"/>
                  <w:vAlign w:val="center"/>
                </w:tcPr>
                <w:p w14:paraId="419A2F58">
                  <w:pPr>
                    <w:jc w:val="center"/>
                    <w:rPr>
                      <w:rFonts w:ascii="宋体" w:hAnsi="宋体"/>
                      <w:szCs w:val="21"/>
                    </w:rPr>
                  </w:pPr>
                  <w:r>
                    <w:rPr>
                      <w:rFonts w:hint="eastAsia" w:ascii="宋体" w:hAnsi="宋体"/>
                      <w:szCs w:val="21"/>
                    </w:rPr>
                    <w:t>7</w:t>
                  </w:r>
                </w:p>
              </w:tc>
              <w:tc>
                <w:tcPr>
                  <w:tcW w:w="1290" w:type="dxa"/>
                  <w:vMerge w:val="continue"/>
                  <w:vAlign w:val="center"/>
                </w:tcPr>
                <w:p w14:paraId="53170F05">
                  <w:pPr>
                    <w:jc w:val="center"/>
                    <w:rPr>
                      <w:rFonts w:ascii="宋体" w:hAnsi="宋体"/>
                      <w:szCs w:val="21"/>
                    </w:rPr>
                  </w:pPr>
                </w:p>
              </w:tc>
              <w:tc>
                <w:tcPr>
                  <w:tcW w:w="6186" w:type="dxa"/>
                  <w:vAlign w:val="center"/>
                </w:tcPr>
                <w:p w14:paraId="36A81AAB">
                  <w:pPr>
                    <w:rPr>
                      <w:rFonts w:ascii="宋体" w:hAnsi="宋体"/>
                      <w:szCs w:val="21"/>
                    </w:rPr>
                  </w:pPr>
                  <w:r>
                    <w:rPr>
                      <w:rFonts w:hint="eastAsia" w:ascii="宋体" w:hAnsi="宋体"/>
                      <w:szCs w:val="21"/>
                    </w:rPr>
                    <w:t>运维服务人员的日常维护中，必须做好报修电话登记和维护工作记录，对于影响教学的故障必须及时向</w:t>
                  </w:r>
                  <w:r>
                    <w:rPr>
                      <w:rFonts w:hint="eastAsia" w:ascii="宋体" w:hAnsi="宋体"/>
                      <w:szCs w:val="21"/>
                      <w:lang w:val="en-US" w:eastAsia="zh-CN"/>
                    </w:rPr>
                    <w:t>教务处</w:t>
                  </w:r>
                  <w:r>
                    <w:rPr>
                      <w:rFonts w:hint="eastAsia" w:ascii="宋体" w:hAnsi="宋体"/>
                      <w:szCs w:val="21"/>
                    </w:rPr>
                    <w:t>业务主管通报情况，并提出处理方法。</w:t>
                  </w:r>
                </w:p>
              </w:tc>
            </w:tr>
            <w:tr w14:paraId="051D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82" w:type="dxa"/>
                  <w:vAlign w:val="center"/>
                </w:tcPr>
                <w:p w14:paraId="17E5DE56">
                  <w:pPr>
                    <w:jc w:val="center"/>
                    <w:rPr>
                      <w:rFonts w:ascii="宋体" w:hAnsi="宋体"/>
                      <w:szCs w:val="21"/>
                    </w:rPr>
                  </w:pPr>
                  <w:r>
                    <w:rPr>
                      <w:rFonts w:hint="eastAsia" w:ascii="宋体" w:hAnsi="宋体"/>
                      <w:szCs w:val="21"/>
                    </w:rPr>
                    <w:t>8</w:t>
                  </w:r>
                </w:p>
              </w:tc>
              <w:tc>
                <w:tcPr>
                  <w:tcW w:w="1290" w:type="dxa"/>
                  <w:vMerge w:val="restart"/>
                  <w:vAlign w:val="center"/>
                </w:tcPr>
                <w:p w14:paraId="688F50CC">
                  <w:pPr>
                    <w:jc w:val="center"/>
                    <w:rPr>
                      <w:rFonts w:ascii="宋体" w:hAnsi="宋体"/>
                      <w:szCs w:val="21"/>
                    </w:rPr>
                  </w:pPr>
                  <w:r>
                    <w:rPr>
                      <w:rFonts w:hint="eastAsia" w:ascii="宋体" w:hAnsi="宋体"/>
                      <w:szCs w:val="21"/>
                    </w:rPr>
                    <w:t>其他服务要求</w:t>
                  </w:r>
                </w:p>
              </w:tc>
              <w:tc>
                <w:tcPr>
                  <w:tcW w:w="6186" w:type="dxa"/>
                  <w:vAlign w:val="center"/>
                </w:tcPr>
                <w:p w14:paraId="5D1B8DDB">
                  <w:pPr>
                    <w:rPr>
                      <w:rFonts w:ascii="宋体" w:hAnsi="宋体"/>
                      <w:szCs w:val="21"/>
                    </w:rPr>
                  </w:pPr>
                  <w:r>
                    <w:rPr>
                      <w:rFonts w:hint="eastAsia" w:ascii="宋体" w:hAnsi="宋体"/>
                      <w:szCs w:val="21"/>
                    </w:rPr>
                    <w:t>运维服务人员应当遵守学校的各项规章制度和工作流程，保持学校工作环境卫生，爱护校内财物，勤俭节约。</w:t>
                  </w:r>
                </w:p>
              </w:tc>
            </w:tr>
            <w:tr w14:paraId="4876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82" w:type="dxa"/>
                  <w:vAlign w:val="center"/>
                </w:tcPr>
                <w:p w14:paraId="67F52188">
                  <w:pPr>
                    <w:jc w:val="center"/>
                    <w:rPr>
                      <w:rFonts w:ascii="宋体" w:hAnsi="宋体"/>
                      <w:szCs w:val="21"/>
                    </w:rPr>
                  </w:pPr>
                  <w:r>
                    <w:rPr>
                      <w:rFonts w:hint="eastAsia" w:ascii="宋体" w:hAnsi="宋体"/>
                      <w:szCs w:val="21"/>
                    </w:rPr>
                    <w:t>9</w:t>
                  </w:r>
                </w:p>
              </w:tc>
              <w:tc>
                <w:tcPr>
                  <w:tcW w:w="1290" w:type="dxa"/>
                  <w:vMerge w:val="continue"/>
                  <w:vAlign w:val="center"/>
                </w:tcPr>
                <w:p w14:paraId="42145FCF">
                  <w:pPr>
                    <w:jc w:val="center"/>
                    <w:rPr>
                      <w:rFonts w:ascii="宋体" w:hAnsi="宋体"/>
                      <w:szCs w:val="21"/>
                    </w:rPr>
                  </w:pPr>
                </w:p>
              </w:tc>
              <w:tc>
                <w:tcPr>
                  <w:tcW w:w="6186" w:type="dxa"/>
                  <w:vAlign w:val="center"/>
                </w:tcPr>
                <w:p w14:paraId="22AC5647">
                  <w:pPr>
                    <w:rPr>
                      <w:rFonts w:ascii="宋体" w:hAnsi="宋体"/>
                      <w:szCs w:val="21"/>
                    </w:rPr>
                  </w:pPr>
                  <w:r>
                    <w:rPr>
                      <w:rFonts w:hint="eastAsia" w:ascii="宋体" w:hAnsi="宋体"/>
                      <w:szCs w:val="21"/>
                    </w:rPr>
                    <w:t>在重大保障等特殊时期，能够做到手机7×24小时保持开机，在线处理平台的软硬件故障，并及时回复师生用户有关平台使用的技术问题。</w:t>
                  </w:r>
                </w:p>
              </w:tc>
            </w:tr>
            <w:tr w14:paraId="5507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82" w:type="dxa"/>
                  <w:vAlign w:val="center"/>
                </w:tcPr>
                <w:p w14:paraId="09D5F7E5">
                  <w:pPr>
                    <w:jc w:val="center"/>
                    <w:rPr>
                      <w:rFonts w:ascii="宋体" w:hAnsi="宋体"/>
                      <w:szCs w:val="21"/>
                    </w:rPr>
                  </w:pPr>
                  <w:r>
                    <w:rPr>
                      <w:rFonts w:hint="eastAsia" w:ascii="宋体" w:hAnsi="宋体"/>
                      <w:szCs w:val="21"/>
                    </w:rPr>
                    <w:t>1</w:t>
                  </w:r>
                  <w:r>
                    <w:rPr>
                      <w:rFonts w:ascii="宋体" w:hAnsi="宋体"/>
                      <w:szCs w:val="21"/>
                    </w:rPr>
                    <w:t>0</w:t>
                  </w:r>
                </w:p>
              </w:tc>
              <w:tc>
                <w:tcPr>
                  <w:tcW w:w="1290" w:type="dxa"/>
                  <w:vMerge w:val="continue"/>
                  <w:vAlign w:val="center"/>
                </w:tcPr>
                <w:p w14:paraId="7093C5F5">
                  <w:pPr>
                    <w:jc w:val="center"/>
                    <w:rPr>
                      <w:rFonts w:ascii="宋体" w:hAnsi="宋体"/>
                      <w:szCs w:val="21"/>
                    </w:rPr>
                  </w:pPr>
                </w:p>
              </w:tc>
              <w:tc>
                <w:tcPr>
                  <w:tcW w:w="6186" w:type="dxa"/>
                  <w:vAlign w:val="center"/>
                </w:tcPr>
                <w:p w14:paraId="701E49ED">
                  <w:pPr>
                    <w:rPr>
                      <w:rFonts w:ascii="宋体" w:hAnsi="宋体"/>
                      <w:szCs w:val="21"/>
                    </w:rPr>
                  </w:pPr>
                  <w:r>
                    <w:rPr>
                      <w:rFonts w:hint="eastAsia" w:ascii="宋体" w:hAnsi="宋体"/>
                      <w:szCs w:val="21"/>
                    </w:rPr>
                    <w:t>接受上海外国语大学</w:t>
                  </w:r>
                  <w:r>
                    <w:rPr>
                      <w:rFonts w:hint="eastAsia" w:ascii="宋体" w:hAnsi="宋体"/>
                      <w:szCs w:val="21"/>
                      <w:lang w:val="en-US" w:eastAsia="zh-CN"/>
                    </w:rPr>
                    <w:t>教务处</w:t>
                  </w:r>
                  <w:r>
                    <w:rPr>
                      <w:rFonts w:hint="eastAsia" w:ascii="宋体" w:hAnsi="宋体"/>
                      <w:szCs w:val="21"/>
                    </w:rPr>
                    <w:t>的其他工作安排。</w:t>
                  </w:r>
                </w:p>
              </w:tc>
            </w:tr>
          </w:tbl>
          <w:p w14:paraId="4D4FBD41">
            <w:pPr>
              <w:pStyle w:val="10"/>
              <w:numPr>
                <w:ilvl w:val="0"/>
                <w:numId w:val="3"/>
              </w:numPr>
              <w:spacing w:line="360" w:lineRule="auto"/>
              <w:ind w:firstLineChars="0"/>
              <w:rPr>
                <w:rFonts w:ascii="宋体" w:hAnsi="宋体"/>
                <w:sz w:val="24"/>
              </w:rPr>
            </w:pPr>
            <w:r>
              <w:rPr>
                <w:rFonts w:hint="eastAsia" w:ascii="宋体" w:hAnsi="宋体"/>
                <w:sz w:val="24"/>
              </w:rPr>
              <w:t>服务范围</w:t>
            </w:r>
          </w:p>
          <w:tbl>
            <w:tblPr>
              <w:tblStyle w:val="8"/>
              <w:tblW w:w="8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058"/>
              <w:gridCol w:w="6318"/>
            </w:tblGrid>
            <w:tr w14:paraId="289B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2" w:type="dxa"/>
                  <w:vAlign w:val="center"/>
                </w:tcPr>
                <w:p w14:paraId="4E1313E9">
                  <w:pPr>
                    <w:jc w:val="center"/>
                    <w:rPr>
                      <w:rFonts w:ascii="宋体" w:hAnsi="宋体"/>
                      <w:b/>
                      <w:szCs w:val="21"/>
                    </w:rPr>
                  </w:pPr>
                  <w:r>
                    <w:rPr>
                      <w:rFonts w:hint="eastAsia" w:ascii="宋体" w:hAnsi="宋体"/>
                      <w:b/>
                      <w:szCs w:val="21"/>
                    </w:rPr>
                    <w:t>序号</w:t>
                  </w:r>
                </w:p>
              </w:tc>
              <w:tc>
                <w:tcPr>
                  <w:tcW w:w="1058" w:type="dxa"/>
                  <w:vAlign w:val="center"/>
                </w:tcPr>
                <w:p w14:paraId="4CEFAF28">
                  <w:pPr>
                    <w:jc w:val="center"/>
                    <w:rPr>
                      <w:rFonts w:ascii="宋体" w:hAnsi="宋体"/>
                      <w:b/>
                      <w:szCs w:val="21"/>
                    </w:rPr>
                  </w:pPr>
                  <w:r>
                    <w:rPr>
                      <w:rFonts w:hint="eastAsia" w:ascii="宋体" w:hAnsi="宋体"/>
                      <w:b/>
                      <w:szCs w:val="21"/>
                    </w:rPr>
                    <w:t>指标项</w:t>
                  </w:r>
                </w:p>
              </w:tc>
              <w:tc>
                <w:tcPr>
                  <w:tcW w:w="6318" w:type="dxa"/>
                  <w:vAlign w:val="center"/>
                </w:tcPr>
                <w:p w14:paraId="221F5F62">
                  <w:pPr>
                    <w:jc w:val="center"/>
                    <w:rPr>
                      <w:rFonts w:ascii="宋体" w:hAnsi="宋体"/>
                      <w:b/>
                      <w:szCs w:val="21"/>
                    </w:rPr>
                  </w:pPr>
                  <w:r>
                    <w:rPr>
                      <w:rFonts w:hint="eastAsia" w:ascii="宋体" w:hAnsi="宋体"/>
                      <w:b/>
                      <w:szCs w:val="21"/>
                    </w:rPr>
                    <w:t>指标描述</w:t>
                  </w:r>
                </w:p>
              </w:tc>
            </w:tr>
            <w:tr w14:paraId="60F4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2" w:type="dxa"/>
                  <w:vAlign w:val="center"/>
                </w:tcPr>
                <w:p w14:paraId="5DA3CEF5">
                  <w:pPr>
                    <w:jc w:val="center"/>
                    <w:rPr>
                      <w:rFonts w:ascii="宋体" w:hAnsi="宋体"/>
                      <w:szCs w:val="21"/>
                    </w:rPr>
                  </w:pPr>
                  <w:r>
                    <w:rPr>
                      <w:rFonts w:hint="eastAsia" w:ascii="宋体" w:hAnsi="宋体"/>
                      <w:szCs w:val="21"/>
                    </w:rPr>
                    <w:t>1</w:t>
                  </w:r>
                </w:p>
              </w:tc>
              <w:tc>
                <w:tcPr>
                  <w:tcW w:w="1058" w:type="dxa"/>
                  <w:vAlign w:val="center"/>
                </w:tcPr>
                <w:p w14:paraId="70476C03">
                  <w:pPr>
                    <w:jc w:val="center"/>
                    <w:rPr>
                      <w:rFonts w:ascii="宋体" w:hAnsi="宋体"/>
                      <w:szCs w:val="21"/>
                    </w:rPr>
                  </w:pPr>
                  <w:r>
                    <w:rPr>
                      <w:rFonts w:hint="eastAsia" w:ascii="宋体" w:hAnsi="宋体"/>
                      <w:szCs w:val="21"/>
                    </w:rPr>
                    <w:t>服务期限</w:t>
                  </w:r>
                </w:p>
              </w:tc>
              <w:tc>
                <w:tcPr>
                  <w:tcW w:w="6318" w:type="dxa"/>
                  <w:vAlign w:val="center"/>
                </w:tcPr>
                <w:p w14:paraId="7F079537">
                  <w:pPr>
                    <w:jc w:val="left"/>
                    <w:rPr>
                      <w:rFonts w:ascii="宋体" w:hAnsi="宋体"/>
                      <w:szCs w:val="21"/>
                    </w:rPr>
                  </w:pPr>
                  <w:r>
                    <w:rPr>
                      <w:rFonts w:hint="eastAsia" w:ascii="宋体" w:hAnsi="宋体"/>
                      <w:szCs w:val="21"/>
                    </w:rPr>
                    <w:t>自合同签订之日起一年。</w:t>
                  </w:r>
                </w:p>
              </w:tc>
            </w:tr>
            <w:tr w14:paraId="6B18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2" w:type="dxa"/>
                  <w:vAlign w:val="center"/>
                </w:tcPr>
                <w:p w14:paraId="17877BC2">
                  <w:pPr>
                    <w:jc w:val="center"/>
                    <w:rPr>
                      <w:rFonts w:ascii="宋体" w:hAnsi="宋体"/>
                      <w:szCs w:val="21"/>
                    </w:rPr>
                  </w:pPr>
                  <w:r>
                    <w:rPr>
                      <w:rFonts w:hint="eastAsia" w:ascii="宋体" w:hAnsi="宋体"/>
                      <w:szCs w:val="21"/>
                    </w:rPr>
                    <w:t>2</w:t>
                  </w:r>
                </w:p>
              </w:tc>
              <w:tc>
                <w:tcPr>
                  <w:tcW w:w="1058" w:type="dxa"/>
                  <w:vAlign w:val="center"/>
                </w:tcPr>
                <w:p w14:paraId="43A38344">
                  <w:pPr>
                    <w:jc w:val="center"/>
                    <w:rPr>
                      <w:rFonts w:ascii="宋体" w:hAnsi="宋体"/>
                      <w:szCs w:val="21"/>
                    </w:rPr>
                  </w:pPr>
                  <w:r>
                    <w:rPr>
                      <w:rFonts w:hint="eastAsia" w:ascii="宋体" w:hAnsi="宋体"/>
                      <w:szCs w:val="21"/>
                    </w:rPr>
                    <w:t>服务地点</w:t>
                  </w:r>
                </w:p>
              </w:tc>
              <w:tc>
                <w:tcPr>
                  <w:tcW w:w="6318" w:type="dxa"/>
                  <w:vAlign w:val="center"/>
                </w:tcPr>
                <w:p w14:paraId="72EF8D9C">
                  <w:pPr>
                    <w:jc w:val="left"/>
                    <w:rPr>
                      <w:rFonts w:ascii="宋体" w:hAnsi="宋体"/>
                      <w:szCs w:val="21"/>
                    </w:rPr>
                  </w:pPr>
                  <w:r>
                    <w:rPr>
                      <w:rFonts w:hint="eastAsia" w:ascii="宋体" w:hAnsi="宋体"/>
                      <w:szCs w:val="21"/>
                    </w:rPr>
                    <w:t>松江校区校方指定地点。</w:t>
                  </w:r>
                </w:p>
              </w:tc>
            </w:tr>
            <w:tr w14:paraId="0B55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2" w:type="dxa"/>
                  <w:vAlign w:val="center"/>
                </w:tcPr>
                <w:p w14:paraId="26C8FB19">
                  <w:pPr>
                    <w:jc w:val="center"/>
                    <w:rPr>
                      <w:rFonts w:ascii="宋体" w:hAnsi="宋体"/>
                      <w:szCs w:val="21"/>
                    </w:rPr>
                  </w:pPr>
                  <w:r>
                    <w:rPr>
                      <w:rFonts w:hint="eastAsia" w:ascii="宋体" w:hAnsi="宋体"/>
                      <w:szCs w:val="21"/>
                    </w:rPr>
                    <w:t>3</w:t>
                  </w:r>
                </w:p>
              </w:tc>
              <w:tc>
                <w:tcPr>
                  <w:tcW w:w="1058" w:type="dxa"/>
                  <w:vAlign w:val="center"/>
                </w:tcPr>
                <w:p w14:paraId="0755A575">
                  <w:pPr>
                    <w:jc w:val="center"/>
                    <w:rPr>
                      <w:rFonts w:ascii="宋体" w:hAnsi="宋体"/>
                      <w:szCs w:val="21"/>
                    </w:rPr>
                  </w:pPr>
                  <w:r>
                    <w:rPr>
                      <w:rFonts w:hint="eastAsia" w:ascii="宋体" w:hAnsi="宋体"/>
                      <w:szCs w:val="21"/>
                    </w:rPr>
                    <w:t>服务方式</w:t>
                  </w:r>
                </w:p>
              </w:tc>
              <w:tc>
                <w:tcPr>
                  <w:tcW w:w="6318" w:type="dxa"/>
                  <w:vAlign w:val="center"/>
                </w:tcPr>
                <w:p w14:paraId="7BB935E5">
                  <w:pPr>
                    <w:jc w:val="left"/>
                    <w:rPr>
                      <w:rFonts w:ascii="宋体" w:hAnsi="宋体"/>
                      <w:szCs w:val="21"/>
                    </w:rPr>
                  </w:pPr>
                  <w:r>
                    <w:rPr>
                      <w:rFonts w:hint="eastAsia" w:ascii="宋体" w:hAnsi="宋体"/>
                      <w:szCs w:val="21"/>
                    </w:rPr>
                    <w:t>提供针对本项目的专人驻场维护和技术支持服务；服务范围为Bb平台软硬件运维等服务。</w:t>
                  </w:r>
                </w:p>
              </w:tc>
            </w:tr>
            <w:tr w14:paraId="5D42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2" w:type="dxa"/>
                  <w:vAlign w:val="center"/>
                </w:tcPr>
                <w:p w14:paraId="696E6602">
                  <w:pPr>
                    <w:jc w:val="center"/>
                    <w:rPr>
                      <w:rFonts w:ascii="宋体" w:hAnsi="宋体"/>
                      <w:szCs w:val="21"/>
                    </w:rPr>
                  </w:pPr>
                  <w:r>
                    <w:rPr>
                      <w:rFonts w:hint="eastAsia" w:ascii="宋体" w:hAnsi="宋体"/>
                      <w:szCs w:val="21"/>
                    </w:rPr>
                    <w:t>4</w:t>
                  </w:r>
                </w:p>
              </w:tc>
              <w:tc>
                <w:tcPr>
                  <w:tcW w:w="1058" w:type="dxa"/>
                  <w:vAlign w:val="center"/>
                </w:tcPr>
                <w:p w14:paraId="4B4C5C81">
                  <w:pPr>
                    <w:jc w:val="center"/>
                    <w:rPr>
                      <w:rFonts w:ascii="宋体" w:hAnsi="宋体"/>
                      <w:szCs w:val="21"/>
                    </w:rPr>
                  </w:pPr>
                  <w:r>
                    <w:rPr>
                      <w:rFonts w:hint="eastAsia" w:ascii="宋体" w:hAnsi="宋体"/>
                      <w:szCs w:val="21"/>
                    </w:rPr>
                    <w:t>服务时间</w:t>
                  </w:r>
                </w:p>
              </w:tc>
              <w:tc>
                <w:tcPr>
                  <w:tcW w:w="6318" w:type="dxa"/>
                  <w:vAlign w:val="center"/>
                </w:tcPr>
                <w:p w14:paraId="4B858B6B">
                  <w:pPr>
                    <w:jc w:val="left"/>
                    <w:rPr>
                      <w:rFonts w:ascii="宋体" w:hAnsi="宋体"/>
                      <w:szCs w:val="21"/>
                    </w:rPr>
                  </w:pPr>
                  <w:r>
                    <w:rPr>
                      <w:rFonts w:hint="eastAsia" w:ascii="宋体" w:hAnsi="宋体"/>
                      <w:szCs w:val="21"/>
                    </w:rPr>
                    <w:t>每周一至周五</w:t>
                  </w:r>
                  <w:r>
                    <w:rPr>
                      <w:rFonts w:ascii="宋体" w:hAnsi="宋体"/>
                      <w:szCs w:val="21"/>
                    </w:rPr>
                    <w:t>8:00时至17:00时驻场服务（如遇节假日休假调换工作日，以学校开放教学时间为准）。</w:t>
                  </w:r>
                </w:p>
              </w:tc>
            </w:tr>
            <w:tr w14:paraId="0E83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702" w:type="dxa"/>
                  <w:vAlign w:val="center"/>
                </w:tcPr>
                <w:p w14:paraId="55218681">
                  <w:pPr>
                    <w:jc w:val="center"/>
                    <w:rPr>
                      <w:rFonts w:ascii="宋体" w:hAnsi="宋体"/>
                      <w:szCs w:val="21"/>
                    </w:rPr>
                  </w:pPr>
                  <w:r>
                    <w:rPr>
                      <w:rFonts w:hint="eastAsia" w:ascii="宋体" w:hAnsi="宋体"/>
                      <w:szCs w:val="21"/>
                    </w:rPr>
                    <w:t>5</w:t>
                  </w:r>
                </w:p>
              </w:tc>
              <w:tc>
                <w:tcPr>
                  <w:tcW w:w="1058" w:type="dxa"/>
                  <w:vAlign w:val="center"/>
                </w:tcPr>
                <w:p w14:paraId="0231F7C1">
                  <w:pPr>
                    <w:jc w:val="center"/>
                    <w:rPr>
                      <w:rFonts w:ascii="宋体" w:hAnsi="宋体"/>
                      <w:szCs w:val="21"/>
                    </w:rPr>
                  </w:pPr>
                  <w:r>
                    <w:rPr>
                      <w:rFonts w:hint="eastAsia" w:ascii="宋体" w:hAnsi="宋体"/>
                      <w:szCs w:val="21"/>
                    </w:rPr>
                    <w:t>服务人员</w:t>
                  </w:r>
                </w:p>
              </w:tc>
              <w:tc>
                <w:tcPr>
                  <w:tcW w:w="6318" w:type="dxa"/>
                  <w:vAlign w:val="center"/>
                </w:tcPr>
                <w:p w14:paraId="51FA6860">
                  <w:pPr>
                    <w:jc w:val="left"/>
                    <w:rPr>
                      <w:rFonts w:ascii="宋体" w:hAnsi="宋体"/>
                      <w:szCs w:val="21"/>
                    </w:rPr>
                  </w:pPr>
                  <w:r>
                    <w:rPr>
                      <w:rFonts w:hint="eastAsia" w:ascii="宋体" w:hAnsi="宋体"/>
                      <w:szCs w:val="21"/>
                    </w:rPr>
                    <w:t>至少派遣1名运维人员在校内进行驻场服务。双休日及国定假日，如我校有重大活动要求加班参与系统维护，将提前</w:t>
                  </w:r>
                  <w:r>
                    <w:rPr>
                      <w:rFonts w:ascii="宋体" w:hAnsi="宋体"/>
                      <w:szCs w:val="21"/>
                    </w:rPr>
                    <w:t>48小时通知服务公司，服务公司应该无条件派遣人员加班</w:t>
                  </w:r>
                  <w:r>
                    <w:rPr>
                      <w:rFonts w:hint="eastAsia" w:ascii="宋体" w:hAnsi="宋体"/>
                      <w:szCs w:val="21"/>
                    </w:rPr>
                    <w:t>。上述双休日及国定假日（春节除外）的加班费用已经包含在本项目预算内，无需额外收费。</w:t>
                  </w:r>
                </w:p>
              </w:tc>
            </w:tr>
          </w:tbl>
          <w:p w14:paraId="06A4FB2B">
            <w:pPr>
              <w:pStyle w:val="10"/>
              <w:numPr>
                <w:ilvl w:val="0"/>
                <w:numId w:val="3"/>
              </w:numPr>
              <w:spacing w:line="360" w:lineRule="auto"/>
              <w:ind w:firstLineChars="0"/>
              <w:rPr>
                <w:rFonts w:ascii="宋体" w:hAnsi="宋体"/>
                <w:sz w:val="24"/>
              </w:rPr>
            </w:pPr>
            <w:r>
              <w:rPr>
                <w:rFonts w:hint="eastAsia" w:ascii="宋体" w:hAnsi="宋体"/>
                <w:sz w:val="24"/>
              </w:rPr>
              <w:t>服务保障与考核标准</w:t>
            </w:r>
          </w:p>
          <w:p w14:paraId="454E1C17">
            <w:pPr>
              <w:pStyle w:val="10"/>
              <w:numPr>
                <w:ilvl w:val="0"/>
                <w:numId w:val="4"/>
              </w:numPr>
              <w:autoSpaceDE w:val="0"/>
              <w:autoSpaceDN w:val="0"/>
              <w:adjustRightInd w:val="0"/>
              <w:spacing w:line="360" w:lineRule="auto"/>
              <w:ind w:firstLineChars="0"/>
              <w:textAlignment w:val="baseline"/>
              <w:rPr>
                <w:rFonts w:ascii="宋体" w:hAnsi="宋体"/>
                <w:bCs/>
                <w:kern w:val="0"/>
                <w:sz w:val="24"/>
                <w:szCs w:val="24"/>
              </w:rPr>
            </w:pPr>
            <w:r>
              <w:rPr>
                <w:rFonts w:hint="eastAsia" w:ascii="宋体" w:hAnsi="宋体"/>
                <w:bCs/>
                <w:kern w:val="0"/>
                <w:sz w:val="24"/>
                <w:szCs w:val="24"/>
              </w:rPr>
              <w:t>服务保障与承诺</w:t>
            </w:r>
          </w:p>
          <w:p w14:paraId="60987951">
            <w:pPr>
              <w:pStyle w:val="10"/>
              <w:numPr>
                <w:ilvl w:val="0"/>
                <w:numId w:val="5"/>
              </w:numPr>
              <w:autoSpaceDE w:val="0"/>
              <w:autoSpaceDN w:val="0"/>
              <w:adjustRightInd w:val="0"/>
              <w:spacing w:line="360" w:lineRule="auto"/>
              <w:ind w:firstLineChars="0"/>
              <w:textAlignment w:val="baseline"/>
              <w:rPr>
                <w:rFonts w:ascii="宋体" w:hAnsi="宋体"/>
                <w:bCs/>
                <w:kern w:val="0"/>
                <w:sz w:val="24"/>
                <w:szCs w:val="24"/>
              </w:rPr>
            </w:pPr>
            <w:r>
              <w:rPr>
                <w:rFonts w:hint="eastAsia" w:ascii="宋体" w:hAnsi="宋体"/>
                <w:bCs/>
                <w:kern w:val="0"/>
                <w:sz w:val="24"/>
                <w:szCs w:val="24"/>
              </w:rPr>
              <w:t>服务公司应根据我校平台实际运行需求，有计划地制安排服务保障体系。保证本项目按时稳定地运行。</w:t>
            </w:r>
          </w:p>
          <w:p w14:paraId="547305E5">
            <w:pPr>
              <w:pStyle w:val="10"/>
              <w:numPr>
                <w:ilvl w:val="0"/>
                <w:numId w:val="5"/>
              </w:numPr>
              <w:autoSpaceDE w:val="0"/>
              <w:autoSpaceDN w:val="0"/>
              <w:adjustRightInd w:val="0"/>
              <w:spacing w:line="360" w:lineRule="auto"/>
              <w:ind w:firstLineChars="0"/>
              <w:textAlignment w:val="baseline"/>
              <w:rPr>
                <w:rFonts w:ascii="宋体" w:hAnsi="宋体"/>
                <w:bCs/>
                <w:kern w:val="0"/>
                <w:sz w:val="24"/>
                <w:szCs w:val="24"/>
              </w:rPr>
            </w:pPr>
            <w:r>
              <w:rPr>
                <w:rFonts w:hint="eastAsia" w:ascii="宋体" w:hAnsi="宋体"/>
                <w:bCs/>
                <w:kern w:val="0"/>
                <w:sz w:val="24"/>
                <w:szCs w:val="24"/>
              </w:rPr>
              <w:t>在本项目实施过程中及售后服务期内，</w:t>
            </w:r>
            <w:r>
              <w:rPr>
                <w:rFonts w:hint="eastAsia" w:ascii="宋体" w:hAnsi="宋体"/>
                <w:bCs/>
                <w:kern w:val="0"/>
                <w:sz w:val="24"/>
                <w:szCs w:val="24"/>
              </w:rPr>
              <w:tab/>
            </w:r>
            <w:r>
              <w:rPr>
                <w:rFonts w:hint="eastAsia" w:ascii="宋体" w:hAnsi="宋体"/>
                <w:bCs/>
                <w:kern w:val="0"/>
                <w:sz w:val="24"/>
                <w:szCs w:val="24"/>
              </w:rPr>
              <w:t>服务公司需指定专人负责与我校</w:t>
            </w:r>
            <w:r>
              <w:rPr>
                <w:rFonts w:hint="eastAsia" w:ascii="宋体" w:hAnsi="宋体"/>
                <w:bCs/>
                <w:kern w:val="0"/>
                <w:sz w:val="24"/>
                <w:szCs w:val="24"/>
                <w:lang w:val="en-US" w:eastAsia="zh-CN"/>
              </w:rPr>
              <w:t>教务处</w:t>
            </w:r>
            <w:r>
              <w:rPr>
                <w:rFonts w:hint="eastAsia" w:ascii="宋体" w:hAnsi="宋体"/>
                <w:bCs/>
                <w:kern w:val="0"/>
                <w:sz w:val="24"/>
                <w:szCs w:val="24"/>
              </w:rPr>
              <w:t>相关负责人对接，以保证项目的顺利实施，如期完成，同时保证项目实施全过程中的服务水平。</w:t>
            </w:r>
          </w:p>
          <w:p w14:paraId="5BB60A7D">
            <w:pPr>
              <w:pStyle w:val="10"/>
              <w:numPr>
                <w:ilvl w:val="0"/>
                <w:numId w:val="5"/>
              </w:numPr>
              <w:autoSpaceDE w:val="0"/>
              <w:autoSpaceDN w:val="0"/>
              <w:adjustRightInd w:val="0"/>
              <w:spacing w:line="360" w:lineRule="auto"/>
              <w:ind w:firstLineChars="0"/>
              <w:textAlignment w:val="baseline"/>
              <w:rPr>
                <w:rFonts w:ascii="宋体" w:hAnsi="宋体"/>
                <w:bCs/>
                <w:kern w:val="0"/>
                <w:sz w:val="24"/>
                <w:szCs w:val="24"/>
              </w:rPr>
            </w:pPr>
            <w:r>
              <w:rPr>
                <w:rFonts w:hint="eastAsia" w:ascii="宋体" w:hAnsi="宋体"/>
                <w:bCs/>
                <w:kern w:val="0"/>
                <w:sz w:val="24"/>
                <w:szCs w:val="24"/>
              </w:rPr>
              <w:t>除了上述承诺以外，服务公司关于服务保障体系的描述应具体明确包括（但不限于）如下内容：保障与服务能力描述；明确的保障时间和范围；保障期内运行服务内容，服务公司对用户的支持或后期请求处理流程的详细描述。</w:t>
            </w:r>
          </w:p>
          <w:p w14:paraId="71BD579E">
            <w:pPr>
              <w:pStyle w:val="10"/>
              <w:numPr>
                <w:ilvl w:val="0"/>
                <w:numId w:val="4"/>
              </w:numPr>
              <w:autoSpaceDE w:val="0"/>
              <w:autoSpaceDN w:val="0"/>
              <w:adjustRightInd w:val="0"/>
              <w:spacing w:line="360" w:lineRule="auto"/>
              <w:ind w:firstLineChars="0"/>
              <w:textAlignment w:val="baseline"/>
              <w:rPr>
                <w:rFonts w:ascii="宋体" w:hAnsi="宋体"/>
                <w:bCs/>
                <w:kern w:val="0"/>
                <w:sz w:val="24"/>
                <w:szCs w:val="24"/>
              </w:rPr>
            </w:pPr>
            <w:r>
              <w:rPr>
                <w:rFonts w:hint="eastAsia" w:ascii="宋体" w:hAnsi="宋体"/>
                <w:bCs/>
                <w:kern w:val="0"/>
                <w:sz w:val="24"/>
                <w:szCs w:val="24"/>
              </w:rPr>
              <w:t>服务报告要求</w:t>
            </w:r>
          </w:p>
          <w:p w14:paraId="6DE892B4">
            <w:pPr>
              <w:pStyle w:val="10"/>
              <w:numPr>
                <w:ilvl w:val="0"/>
                <w:numId w:val="6"/>
              </w:numPr>
              <w:autoSpaceDE w:val="0"/>
              <w:autoSpaceDN w:val="0"/>
              <w:adjustRightInd w:val="0"/>
              <w:spacing w:line="360" w:lineRule="auto"/>
              <w:ind w:firstLineChars="0"/>
              <w:textAlignment w:val="baseline"/>
              <w:rPr>
                <w:rFonts w:ascii="宋体" w:hAnsi="宋体"/>
                <w:bCs/>
                <w:kern w:val="0"/>
                <w:sz w:val="24"/>
                <w:szCs w:val="24"/>
              </w:rPr>
            </w:pPr>
            <w:r>
              <w:rPr>
                <w:rFonts w:hint="eastAsia" w:ascii="宋体" w:hAnsi="宋体"/>
                <w:bCs/>
                <w:kern w:val="0"/>
                <w:sz w:val="24"/>
                <w:szCs w:val="24"/>
              </w:rPr>
              <w:t>服务公司每月提交一份本月运维报告，包括但不仅限于本月运维总结（包括已解决的问题、未解决的问题等）、每次巡检及应急服务记录（平台软硬件等）、接报处理情况（</w:t>
            </w:r>
            <w:r>
              <w:rPr>
                <w:rFonts w:ascii="宋体" w:hAnsi="宋体"/>
                <w:bCs/>
                <w:kern w:val="0"/>
                <w:sz w:val="24"/>
                <w:szCs w:val="24"/>
              </w:rPr>
              <w:t>接报、电话接报、巡检接报等）、案例分析（发生问题、事故原因、整改方案等）、用户满意度、用户投诉等，由</w:t>
            </w:r>
            <w:r>
              <w:rPr>
                <w:rFonts w:hint="eastAsia" w:ascii="宋体" w:hAnsi="宋体"/>
                <w:bCs/>
                <w:kern w:val="0"/>
                <w:sz w:val="24"/>
                <w:szCs w:val="24"/>
                <w:lang w:val="en-US" w:eastAsia="zh-CN"/>
              </w:rPr>
              <w:t>教务处</w:t>
            </w:r>
            <w:r>
              <w:rPr>
                <w:rFonts w:ascii="宋体" w:hAnsi="宋体"/>
                <w:bCs/>
                <w:kern w:val="0"/>
                <w:sz w:val="24"/>
                <w:szCs w:val="24"/>
              </w:rPr>
              <w:t>具体负责</w:t>
            </w:r>
            <w:r>
              <w:rPr>
                <w:rFonts w:hint="eastAsia" w:ascii="宋体" w:hAnsi="宋体"/>
                <w:bCs/>
                <w:kern w:val="0"/>
                <w:sz w:val="24"/>
                <w:szCs w:val="24"/>
              </w:rPr>
              <w:t>业务</w:t>
            </w:r>
            <w:r>
              <w:rPr>
                <w:rFonts w:ascii="宋体" w:hAnsi="宋体"/>
                <w:bCs/>
                <w:kern w:val="0"/>
                <w:sz w:val="24"/>
                <w:szCs w:val="24"/>
              </w:rPr>
              <w:t>的责任人签字并备案。</w:t>
            </w:r>
          </w:p>
          <w:p w14:paraId="5BADDCD7">
            <w:pPr>
              <w:pStyle w:val="10"/>
              <w:numPr>
                <w:ilvl w:val="0"/>
                <w:numId w:val="6"/>
              </w:numPr>
              <w:autoSpaceDE w:val="0"/>
              <w:autoSpaceDN w:val="0"/>
              <w:adjustRightInd w:val="0"/>
              <w:spacing w:line="360" w:lineRule="auto"/>
              <w:ind w:firstLineChars="0"/>
              <w:textAlignment w:val="baseline"/>
              <w:rPr>
                <w:rFonts w:ascii="宋体" w:hAnsi="宋体"/>
                <w:bCs/>
                <w:kern w:val="0"/>
                <w:sz w:val="24"/>
                <w:szCs w:val="24"/>
              </w:rPr>
            </w:pPr>
            <w:r>
              <w:rPr>
                <w:rFonts w:hint="eastAsia" w:ascii="宋体" w:hAnsi="宋体"/>
                <w:bCs/>
                <w:kern w:val="0"/>
                <w:sz w:val="24"/>
                <w:szCs w:val="24"/>
              </w:rPr>
              <w:t>服务公司每季度提供平台软硬件使用情况报告（包括平台硬件报告、平台软件报告、平台用户使用报告等）以及对于待解决问题的建议等。</w:t>
            </w:r>
          </w:p>
          <w:p w14:paraId="7C96672F">
            <w:pPr>
              <w:pStyle w:val="10"/>
              <w:numPr>
                <w:ilvl w:val="0"/>
                <w:numId w:val="4"/>
              </w:numPr>
              <w:autoSpaceDE w:val="0"/>
              <w:autoSpaceDN w:val="0"/>
              <w:adjustRightInd w:val="0"/>
              <w:spacing w:line="360" w:lineRule="auto"/>
              <w:ind w:firstLineChars="0"/>
              <w:textAlignment w:val="baseline"/>
              <w:rPr>
                <w:rFonts w:ascii="宋体" w:hAnsi="宋体"/>
                <w:bCs/>
                <w:kern w:val="0"/>
                <w:sz w:val="24"/>
                <w:szCs w:val="24"/>
              </w:rPr>
            </w:pPr>
            <w:r>
              <w:rPr>
                <w:rFonts w:hint="eastAsia" w:ascii="宋体" w:hAnsi="宋体"/>
                <w:bCs/>
                <w:kern w:val="0"/>
                <w:sz w:val="24"/>
                <w:szCs w:val="24"/>
              </w:rPr>
              <w:t>服务管理机制</w:t>
            </w:r>
          </w:p>
          <w:p w14:paraId="31016D23">
            <w:pPr>
              <w:numPr>
                <w:ilvl w:val="1"/>
                <w:numId w:val="7"/>
              </w:numPr>
              <w:autoSpaceDE w:val="0"/>
              <w:autoSpaceDN w:val="0"/>
              <w:adjustRightInd w:val="0"/>
              <w:spacing w:line="360" w:lineRule="auto"/>
              <w:ind w:left="480" w:hanging="480" w:hangingChars="200"/>
              <w:textAlignment w:val="baseline"/>
              <w:rPr>
                <w:rFonts w:ascii="宋体" w:hAnsi="宋体"/>
                <w:bCs/>
                <w:kern w:val="0"/>
                <w:sz w:val="24"/>
                <w:szCs w:val="24"/>
              </w:rPr>
            </w:pPr>
            <w:r>
              <w:rPr>
                <w:rFonts w:hint="eastAsia" w:ascii="宋体" w:hAnsi="宋体"/>
                <w:bCs/>
                <w:kern w:val="0"/>
                <w:sz w:val="24"/>
                <w:szCs w:val="24"/>
              </w:rPr>
              <w:t>运维服务管理机制最终目标是为学校师生提供最佳的运维服务体验，在日常执行过程中，会涉及到师生、运维服务人员以及学校主管老师。为了能更合理、便捷的收集到服务过程数据，我们建议按照如下表格格式，每周由运维负责人，搜集数据，报告给学校业务主管老师或负责人，给予客观评价，作为定期考核的依据。设计表格格式如下：</w:t>
            </w:r>
          </w:p>
          <w:tbl>
            <w:tblPr>
              <w:tblStyle w:val="7"/>
              <w:tblW w:w="8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5"/>
              <w:gridCol w:w="5105"/>
            </w:tblGrid>
            <w:tr w14:paraId="78BA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040" w:type="dxa"/>
                  <w:gridSpan w:val="2"/>
                  <w:shd w:val="clear" w:color="auto" w:fill="auto"/>
                </w:tcPr>
                <w:p w14:paraId="1EC4A352">
                  <w:pPr>
                    <w:adjustRightInd w:val="0"/>
                    <w:textAlignment w:val="baseline"/>
                    <w:rPr>
                      <w:rFonts w:ascii="宋体" w:hAnsi="宋体"/>
                      <w:b/>
                      <w:bCs/>
                      <w:kern w:val="0"/>
                    </w:rPr>
                  </w:pPr>
                  <w:r>
                    <w:rPr>
                      <w:rFonts w:hint="eastAsia" w:ascii="宋体" w:hAnsi="宋体"/>
                      <w:b/>
                      <w:bCs/>
                      <w:kern w:val="0"/>
                    </w:rPr>
                    <w:t>上海外国语大学Blackboard在线教学管理平台运维劳务服务外包工作每周汇报及评价表</w:t>
                  </w:r>
                </w:p>
              </w:tc>
            </w:tr>
            <w:tr w14:paraId="3FBC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935" w:type="dxa"/>
                  <w:shd w:val="clear" w:color="auto" w:fill="auto"/>
                  <w:vAlign w:val="center"/>
                </w:tcPr>
                <w:p w14:paraId="1C093424">
                  <w:pPr>
                    <w:adjustRightInd w:val="0"/>
                    <w:textAlignment w:val="baseline"/>
                    <w:rPr>
                      <w:rFonts w:ascii="宋体" w:hAnsi="宋体" w:cs="仿宋"/>
                      <w:b/>
                      <w:bCs/>
                      <w:kern w:val="0"/>
                    </w:rPr>
                  </w:pPr>
                  <w:r>
                    <w:rPr>
                      <w:rFonts w:hint="eastAsia" w:ascii="宋体" w:hAnsi="宋体" w:cs="仿宋"/>
                      <w:b/>
                      <w:bCs/>
                      <w:kern w:val="0"/>
                    </w:rPr>
                    <w:t>服务时间</w:t>
                  </w:r>
                </w:p>
              </w:tc>
              <w:tc>
                <w:tcPr>
                  <w:tcW w:w="5105" w:type="dxa"/>
                  <w:shd w:val="clear" w:color="auto" w:fill="auto"/>
                </w:tcPr>
                <w:p w14:paraId="28221CED">
                  <w:pPr>
                    <w:adjustRightInd w:val="0"/>
                    <w:textAlignment w:val="baseline"/>
                    <w:rPr>
                      <w:rFonts w:ascii="宋体" w:hAnsi="宋体" w:cs="仿宋"/>
                      <w:kern w:val="0"/>
                    </w:rPr>
                  </w:pPr>
                  <w:r>
                    <w:rPr>
                      <w:rFonts w:hint="eastAsia" w:ascii="宋体" w:hAnsi="宋体" w:cs="仿宋"/>
                      <w:kern w:val="0"/>
                    </w:rPr>
                    <w:t>20</w:t>
                  </w:r>
                  <w:r>
                    <w:rPr>
                      <w:rFonts w:ascii="宋体" w:hAnsi="宋体" w:cs="仿宋"/>
                      <w:kern w:val="0"/>
                    </w:rPr>
                    <w:t>2</w:t>
                  </w:r>
                  <w:r>
                    <w:rPr>
                      <w:rFonts w:hint="eastAsia" w:ascii="宋体" w:hAnsi="宋体" w:cs="仿宋"/>
                      <w:kern w:val="0"/>
                    </w:rPr>
                    <w:t>X年第XX周</w:t>
                  </w:r>
                </w:p>
              </w:tc>
            </w:tr>
            <w:tr w14:paraId="68DC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935" w:type="dxa"/>
                  <w:shd w:val="clear" w:color="auto" w:fill="auto"/>
                  <w:vAlign w:val="center"/>
                </w:tcPr>
                <w:p w14:paraId="3ABD5F22">
                  <w:pPr>
                    <w:adjustRightInd w:val="0"/>
                    <w:textAlignment w:val="baseline"/>
                    <w:rPr>
                      <w:rFonts w:ascii="宋体" w:hAnsi="宋体" w:cs="仿宋"/>
                      <w:b/>
                      <w:bCs/>
                      <w:kern w:val="0"/>
                    </w:rPr>
                  </w:pPr>
                  <w:r>
                    <w:rPr>
                      <w:rFonts w:hint="eastAsia" w:ascii="宋体" w:hAnsi="宋体" w:cs="仿宋"/>
                      <w:b/>
                      <w:bCs/>
                      <w:kern w:val="0"/>
                    </w:rPr>
                    <w:t>流程和相关人员</w:t>
                  </w:r>
                </w:p>
              </w:tc>
              <w:tc>
                <w:tcPr>
                  <w:tcW w:w="5105" w:type="dxa"/>
                  <w:shd w:val="clear" w:color="auto" w:fill="auto"/>
                </w:tcPr>
                <w:p w14:paraId="0DF771F9">
                  <w:pPr>
                    <w:adjustRightInd w:val="0"/>
                    <w:textAlignment w:val="baseline"/>
                    <w:rPr>
                      <w:rFonts w:ascii="宋体" w:hAnsi="宋体" w:cs="仿宋"/>
                      <w:kern w:val="0"/>
                    </w:rPr>
                  </w:pPr>
                  <w:r>
                    <w:rPr>
                      <w:rFonts w:hint="eastAsia" w:ascii="宋体" w:hAnsi="宋体" w:cs="仿宋"/>
                      <w:kern w:val="0"/>
                    </w:rPr>
                    <w:t>运维主管--&gt;学校主管--&gt;学校师生--&gt;服务公司</w:t>
                  </w:r>
                </w:p>
              </w:tc>
            </w:tr>
            <w:tr w14:paraId="5A2E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935" w:type="dxa"/>
                  <w:shd w:val="clear" w:color="auto" w:fill="auto"/>
                  <w:vAlign w:val="center"/>
                </w:tcPr>
                <w:p w14:paraId="5D5FF40C">
                  <w:pPr>
                    <w:adjustRightInd w:val="0"/>
                    <w:textAlignment w:val="baseline"/>
                    <w:rPr>
                      <w:rFonts w:ascii="宋体" w:hAnsi="宋体" w:cs="仿宋"/>
                      <w:b/>
                      <w:bCs/>
                      <w:kern w:val="0"/>
                    </w:rPr>
                  </w:pPr>
                  <w:r>
                    <w:rPr>
                      <w:rFonts w:hint="eastAsia" w:ascii="宋体" w:hAnsi="宋体" w:cs="仿宋"/>
                      <w:b/>
                      <w:bCs/>
                      <w:kern w:val="0"/>
                    </w:rPr>
                    <w:t>计划部分工作报告</w:t>
                  </w:r>
                </w:p>
                <w:p w14:paraId="452254D7">
                  <w:pPr>
                    <w:adjustRightInd w:val="0"/>
                    <w:textAlignment w:val="baseline"/>
                    <w:rPr>
                      <w:rFonts w:ascii="宋体" w:hAnsi="宋体" w:cs="仿宋"/>
                      <w:b/>
                      <w:bCs/>
                      <w:kern w:val="0"/>
                    </w:rPr>
                  </w:pPr>
                  <w:r>
                    <w:rPr>
                      <w:rFonts w:hint="eastAsia" w:ascii="宋体" w:hAnsi="宋体" w:cs="仿宋"/>
                      <w:kern w:val="0"/>
                    </w:rPr>
                    <w:t>频率：每周执行</w:t>
                  </w:r>
                </w:p>
              </w:tc>
              <w:tc>
                <w:tcPr>
                  <w:tcW w:w="5105" w:type="dxa"/>
                  <w:shd w:val="clear" w:color="auto" w:fill="auto"/>
                </w:tcPr>
                <w:p w14:paraId="511D85D6">
                  <w:pPr>
                    <w:adjustRightInd w:val="0"/>
                    <w:textAlignment w:val="baseline"/>
                    <w:rPr>
                      <w:rFonts w:ascii="宋体" w:hAnsi="宋体" w:cs="仿宋"/>
                      <w:i/>
                      <w:iCs/>
                      <w:color w:val="A6A6A6"/>
                      <w:kern w:val="0"/>
                    </w:rPr>
                  </w:pPr>
                </w:p>
                <w:p w14:paraId="74A43263">
                  <w:pPr>
                    <w:adjustRightInd w:val="0"/>
                    <w:textAlignment w:val="baseline"/>
                    <w:rPr>
                      <w:rFonts w:ascii="宋体" w:hAnsi="宋体" w:cs="仿宋"/>
                      <w:i/>
                      <w:iCs/>
                      <w:color w:val="A6A6A6"/>
                      <w:kern w:val="0"/>
                    </w:rPr>
                  </w:pPr>
                  <w:r>
                    <w:rPr>
                      <w:rFonts w:hint="eastAsia" w:ascii="宋体" w:hAnsi="宋体" w:cs="仿宋"/>
                      <w:i/>
                      <w:iCs/>
                      <w:color w:val="A6A6A6"/>
                      <w:kern w:val="0"/>
                    </w:rPr>
                    <w:t>总结本周计划部分服务内容；</w:t>
                  </w:r>
                </w:p>
              </w:tc>
            </w:tr>
            <w:tr w14:paraId="60BA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935" w:type="dxa"/>
                  <w:shd w:val="clear" w:color="auto" w:fill="auto"/>
                  <w:vAlign w:val="center"/>
                </w:tcPr>
                <w:p w14:paraId="3244DDE2">
                  <w:pPr>
                    <w:adjustRightInd w:val="0"/>
                    <w:textAlignment w:val="baseline"/>
                    <w:rPr>
                      <w:rFonts w:ascii="宋体" w:hAnsi="宋体" w:cs="仿宋"/>
                      <w:b/>
                      <w:bCs/>
                      <w:kern w:val="0"/>
                    </w:rPr>
                  </w:pPr>
                  <w:r>
                    <w:rPr>
                      <w:rFonts w:hint="eastAsia" w:ascii="宋体" w:hAnsi="宋体" w:cs="仿宋"/>
                      <w:b/>
                      <w:bCs/>
                      <w:kern w:val="0"/>
                    </w:rPr>
                    <w:t>服务请求部分工作报告</w:t>
                  </w:r>
                </w:p>
                <w:p w14:paraId="1700F6AE">
                  <w:pPr>
                    <w:adjustRightInd w:val="0"/>
                    <w:textAlignment w:val="baseline"/>
                    <w:rPr>
                      <w:rFonts w:ascii="宋体" w:hAnsi="宋体" w:cs="仿宋"/>
                      <w:b/>
                      <w:bCs/>
                      <w:kern w:val="0"/>
                    </w:rPr>
                  </w:pPr>
                  <w:r>
                    <w:rPr>
                      <w:rFonts w:hint="eastAsia" w:ascii="宋体" w:hAnsi="宋体" w:cs="仿宋"/>
                      <w:kern w:val="0"/>
                    </w:rPr>
                    <w:t>频率：每周执行</w:t>
                  </w:r>
                </w:p>
              </w:tc>
              <w:tc>
                <w:tcPr>
                  <w:tcW w:w="5105" w:type="dxa"/>
                  <w:shd w:val="clear" w:color="auto" w:fill="auto"/>
                </w:tcPr>
                <w:p w14:paraId="1B0420F1">
                  <w:pPr>
                    <w:adjustRightInd w:val="0"/>
                    <w:textAlignment w:val="baseline"/>
                    <w:rPr>
                      <w:rFonts w:ascii="宋体" w:hAnsi="宋体" w:cs="仿宋"/>
                      <w:i/>
                      <w:iCs/>
                      <w:color w:val="A6A6A6"/>
                      <w:kern w:val="0"/>
                    </w:rPr>
                  </w:pPr>
                </w:p>
                <w:p w14:paraId="08708C14">
                  <w:pPr>
                    <w:adjustRightInd w:val="0"/>
                    <w:textAlignment w:val="baseline"/>
                    <w:rPr>
                      <w:rFonts w:ascii="宋体" w:hAnsi="宋体" w:cs="仿宋"/>
                      <w:i/>
                      <w:iCs/>
                      <w:color w:val="A6A6A6"/>
                      <w:kern w:val="0"/>
                    </w:rPr>
                  </w:pPr>
                  <w:r>
                    <w:rPr>
                      <w:rFonts w:hint="eastAsia" w:ascii="宋体" w:hAnsi="宋体" w:cs="仿宋"/>
                      <w:i/>
                      <w:iCs/>
                      <w:color w:val="A6A6A6"/>
                      <w:kern w:val="0"/>
                    </w:rPr>
                    <w:t>总结本周服务请求汇总情况；</w:t>
                  </w:r>
                </w:p>
              </w:tc>
            </w:tr>
            <w:tr w14:paraId="25D3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935" w:type="dxa"/>
                  <w:shd w:val="clear" w:color="auto" w:fill="auto"/>
                  <w:vAlign w:val="center"/>
                </w:tcPr>
                <w:p w14:paraId="7213C8E6">
                  <w:pPr>
                    <w:adjustRightInd w:val="0"/>
                    <w:textAlignment w:val="baseline"/>
                    <w:rPr>
                      <w:rFonts w:ascii="宋体" w:hAnsi="宋体" w:cs="仿宋"/>
                      <w:b/>
                      <w:bCs/>
                      <w:kern w:val="0"/>
                    </w:rPr>
                  </w:pPr>
                  <w:r>
                    <w:rPr>
                      <w:rFonts w:hint="eastAsia" w:ascii="宋体" w:hAnsi="宋体" w:cs="仿宋"/>
                      <w:b/>
                      <w:bCs/>
                      <w:kern w:val="0"/>
                    </w:rPr>
                    <w:t>其他事项工作报告</w:t>
                  </w:r>
                </w:p>
                <w:p w14:paraId="7C0F01EF">
                  <w:pPr>
                    <w:adjustRightInd w:val="0"/>
                    <w:textAlignment w:val="baseline"/>
                    <w:rPr>
                      <w:rFonts w:ascii="宋体" w:hAnsi="宋体" w:cs="仿宋"/>
                      <w:b/>
                      <w:bCs/>
                      <w:kern w:val="0"/>
                    </w:rPr>
                  </w:pPr>
                  <w:r>
                    <w:rPr>
                      <w:rFonts w:hint="eastAsia" w:ascii="宋体" w:hAnsi="宋体" w:cs="仿宋"/>
                      <w:kern w:val="0"/>
                    </w:rPr>
                    <w:t>频率：每周执行</w:t>
                  </w:r>
                </w:p>
              </w:tc>
              <w:tc>
                <w:tcPr>
                  <w:tcW w:w="5105" w:type="dxa"/>
                  <w:shd w:val="clear" w:color="auto" w:fill="auto"/>
                </w:tcPr>
                <w:p w14:paraId="66CA1AB1">
                  <w:pPr>
                    <w:adjustRightInd w:val="0"/>
                    <w:textAlignment w:val="baseline"/>
                    <w:rPr>
                      <w:rFonts w:ascii="宋体" w:hAnsi="宋体" w:cs="仿宋"/>
                      <w:i/>
                      <w:iCs/>
                      <w:color w:val="A6A6A6"/>
                      <w:kern w:val="0"/>
                    </w:rPr>
                  </w:pPr>
                </w:p>
                <w:p w14:paraId="726EF5A7">
                  <w:pPr>
                    <w:adjustRightInd w:val="0"/>
                    <w:textAlignment w:val="baseline"/>
                    <w:rPr>
                      <w:rFonts w:ascii="宋体" w:hAnsi="宋体" w:cs="仿宋"/>
                      <w:i/>
                      <w:iCs/>
                      <w:color w:val="A6A6A6"/>
                      <w:kern w:val="0"/>
                    </w:rPr>
                  </w:pPr>
                  <w:r>
                    <w:rPr>
                      <w:rFonts w:hint="eastAsia" w:ascii="宋体" w:hAnsi="宋体" w:cs="仿宋"/>
                      <w:i/>
                      <w:iCs/>
                      <w:color w:val="A6A6A6"/>
                      <w:kern w:val="0"/>
                    </w:rPr>
                    <w:t>总结描述本周特殊工作事项；</w:t>
                  </w:r>
                </w:p>
              </w:tc>
            </w:tr>
            <w:tr w14:paraId="2482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935" w:type="dxa"/>
                  <w:shd w:val="clear" w:color="auto" w:fill="auto"/>
                  <w:vAlign w:val="center"/>
                </w:tcPr>
                <w:p w14:paraId="2B382F51">
                  <w:pPr>
                    <w:adjustRightInd w:val="0"/>
                    <w:textAlignment w:val="baseline"/>
                    <w:rPr>
                      <w:rFonts w:ascii="宋体" w:hAnsi="宋体" w:cs="仿宋"/>
                      <w:b/>
                      <w:bCs/>
                      <w:kern w:val="0"/>
                    </w:rPr>
                  </w:pPr>
                  <w:r>
                    <w:rPr>
                      <w:rFonts w:hint="eastAsia" w:ascii="宋体" w:hAnsi="宋体" w:cs="仿宋"/>
                      <w:b/>
                      <w:bCs/>
                      <w:kern w:val="0"/>
                    </w:rPr>
                    <w:t>业务主管自我评价</w:t>
                  </w:r>
                </w:p>
                <w:p w14:paraId="257BF66B">
                  <w:pPr>
                    <w:adjustRightInd w:val="0"/>
                    <w:textAlignment w:val="baseline"/>
                    <w:rPr>
                      <w:rFonts w:ascii="宋体" w:hAnsi="宋体" w:cs="仿宋"/>
                      <w:b/>
                      <w:bCs/>
                      <w:kern w:val="0"/>
                    </w:rPr>
                  </w:pPr>
                  <w:r>
                    <w:rPr>
                      <w:rFonts w:hint="eastAsia" w:ascii="宋体" w:hAnsi="宋体" w:cs="仿宋"/>
                      <w:kern w:val="0"/>
                    </w:rPr>
                    <w:t>频率：每周执行</w:t>
                  </w:r>
                </w:p>
              </w:tc>
              <w:tc>
                <w:tcPr>
                  <w:tcW w:w="5105" w:type="dxa"/>
                  <w:shd w:val="clear" w:color="auto" w:fill="auto"/>
                </w:tcPr>
                <w:p w14:paraId="1FA91EFF">
                  <w:pPr>
                    <w:adjustRightInd w:val="0"/>
                    <w:textAlignment w:val="baseline"/>
                    <w:rPr>
                      <w:rFonts w:ascii="宋体" w:hAnsi="宋体" w:cs="仿宋"/>
                      <w:i/>
                      <w:iCs/>
                      <w:color w:val="A6A6A6"/>
                      <w:kern w:val="0"/>
                    </w:rPr>
                  </w:pPr>
                </w:p>
                <w:p w14:paraId="3616D1FD">
                  <w:pPr>
                    <w:adjustRightInd w:val="0"/>
                    <w:textAlignment w:val="baseline"/>
                    <w:rPr>
                      <w:rFonts w:ascii="宋体" w:hAnsi="宋体" w:cs="仿宋"/>
                      <w:i/>
                      <w:iCs/>
                      <w:color w:val="A6A6A6"/>
                      <w:kern w:val="0"/>
                    </w:rPr>
                  </w:pPr>
                  <w:r>
                    <w:rPr>
                      <w:rFonts w:hint="eastAsia" w:ascii="宋体" w:hAnsi="宋体" w:cs="仿宋"/>
                      <w:i/>
                      <w:iCs/>
                      <w:color w:val="A6A6A6"/>
                      <w:kern w:val="0"/>
                    </w:rPr>
                    <w:t>运维主管按10分制，自我评分以及评分依据描述；</w:t>
                  </w:r>
                </w:p>
              </w:tc>
            </w:tr>
            <w:tr w14:paraId="3D3C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935" w:type="dxa"/>
                  <w:shd w:val="clear" w:color="auto" w:fill="auto"/>
                  <w:vAlign w:val="center"/>
                </w:tcPr>
                <w:p w14:paraId="40E6B3E9">
                  <w:pPr>
                    <w:adjustRightInd w:val="0"/>
                    <w:textAlignment w:val="baseline"/>
                    <w:rPr>
                      <w:rFonts w:ascii="宋体" w:hAnsi="宋体" w:cs="仿宋"/>
                      <w:b/>
                      <w:bCs/>
                      <w:kern w:val="0"/>
                    </w:rPr>
                  </w:pPr>
                  <w:r>
                    <w:rPr>
                      <w:rFonts w:hint="eastAsia" w:ascii="宋体" w:hAnsi="宋体" w:cs="仿宋"/>
                      <w:b/>
                      <w:bCs/>
                      <w:kern w:val="0"/>
                    </w:rPr>
                    <w:t>学校领导客观评价</w:t>
                  </w:r>
                </w:p>
                <w:p w14:paraId="6D90C93C">
                  <w:pPr>
                    <w:adjustRightInd w:val="0"/>
                    <w:textAlignment w:val="baseline"/>
                    <w:rPr>
                      <w:rFonts w:ascii="宋体" w:hAnsi="宋体" w:cs="仿宋"/>
                      <w:b/>
                      <w:bCs/>
                      <w:kern w:val="0"/>
                    </w:rPr>
                  </w:pPr>
                  <w:r>
                    <w:rPr>
                      <w:rFonts w:hint="eastAsia" w:ascii="宋体" w:hAnsi="宋体" w:cs="仿宋"/>
                      <w:kern w:val="0"/>
                    </w:rPr>
                    <w:t>频率：每周执行</w:t>
                  </w:r>
                </w:p>
              </w:tc>
              <w:tc>
                <w:tcPr>
                  <w:tcW w:w="5105" w:type="dxa"/>
                  <w:shd w:val="clear" w:color="auto" w:fill="auto"/>
                </w:tcPr>
                <w:p w14:paraId="6684E999">
                  <w:pPr>
                    <w:adjustRightInd w:val="0"/>
                    <w:textAlignment w:val="baseline"/>
                    <w:rPr>
                      <w:rFonts w:ascii="宋体" w:hAnsi="宋体" w:cs="仿宋"/>
                      <w:i/>
                      <w:iCs/>
                      <w:color w:val="A6A6A6"/>
                      <w:kern w:val="0"/>
                    </w:rPr>
                  </w:pPr>
                </w:p>
                <w:p w14:paraId="14027484">
                  <w:pPr>
                    <w:adjustRightInd w:val="0"/>
                    <w:textAlignment w:val="baseline"/>
                    <w:rPr>
                      <w:rFonts w:ascii="宋体" w:hAnsi="宋体" w:cs="仿宋"/>
                      <w:i/>
                      <w:iCs/>
                      <w:color w:val="A6A6A6"/>
                      <w:kern w:val="0"/>
                    </w:rPr>
                  </w:pPr>
                  <w:r>
                    <w:rPr>
                      <w:rFonts w:hint="eastAsia" w:ascii="宋体" w:hAnsi="宋体" w:cs="仿宋"/>
                      <w:i/>
                      <w:iCs/>
                      <w:color w:val="A6A6A6"/>
                      <w:kern w:val="0"/>
                    </w:rPr>
                    <w:t>学校主管按10分制，自我评分以及评分依据描述；</w:t>
                  </w:r>
                </w:p>
              </w:tc>
            </w:tr>
            <w:tr w14:paraId="587B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2935" w:type="dxa"/>
                  <w:shd w:val="clear" w:color="auto" w:fill="auto"/>
                  <w:vAlign w:val="center"/>
                </w:tcPr>
                <w:p w14:paraId="5C1015DC">
                  <w:pPr>
                    <w:adjustRightInd w:val="0"/>
                    <w:textAlignment w:val="baseline"/>
                    <w:rPr>
                      <w:rFonts w:ascii="宋体" w:hAnsi="宋体" w:cs="仿宋"/>
                      <w:b/>
                      <w:bCs/>
                      <w:kern w:val="0"/>
                    </w:rPr>
                  </w:pPr>
                  <w:r>
                    <w:rPr>
                      <w:rFonts w:hint="eastAsia" w:ascii="宋体" w:hAnsi="宋体" w:cs="仿宋"/>
                      <w:b/>
                      <w:bCs/>
                      <w:kern w:val="0"/>
                    </w:rPr>
                    <w:t>学校师生客观评价</w:t>
                  </w:r>
                </w:p>
                <w:p w14:paraId="70238F9B">
                  <w:pPr>
                    <w:adjustRightInd w:val="0"/>
                    <w:textAlignment w:val="baseline"/>
                    <w:rPr>
                      <w:rFonts w:ascii="宋体" w:hAnsi="宋体" w:cs="仿宋"/>
                      <w:b/>
                      <w:bCs/>
                      <w:kern w:val="0"/>
                    </w:rPr>
                  </w:pPr>
                  <w:r>
                    <w:rPr>
                      <w:rFonts w:hint="eastAsia" w:ascii="宋体" w:hAnsi="宋体" w:cs="仿宋"/>
                      <w:kern w:val="0"/>
                    </w:rPr>
                    <w:t>频率：每月执行</w:t>
                  </w:r>
                </w:p>
              </w:tc>
              <w:tc>
                <w:tcPr>
                  <w:tcW w:w="5105" w:type="dxa"/>
                  <w:shd w:val="clear" w:color="auto" w:fill="auto"/>
                </w:tcPr>
                <w:p w14:paraId="1F4922B9">
                  <w:pPr>
                    <w:adjustRightInd w:val="0"/>
                    <w:textAlignment w:val="baseline"/>
                    <w:rPr>
                      <w:rFonts w:ascii="宋体" w:hAnsi="宋体" w:cs="仿宋"/>
                      <w:i/>
                      <w:iCs/>
                      <w:color w:val="A6A6A6"/>
                      <w:kern w:val="0"/>
                    </w:rPr>
                  </w:pPr>
                </w:p>
                <w:p w14:paraId="53C5DEF5">
                  <w:pPr>
                    <w:adjustRightInd w:val="0"/>
                    <w:textAlignment w:val="baseline"/>
                    <w:rPr>
                      <w:rFonts w:ascii="宋体" w:hAnsi="宋体" w:cs="仿宋"/>
                      <w:i/>
                      <w:iCs/>
                      <w:color w:val="A6A6A6"/>
                      <w:kern w:val="0"/>
                    </w:rPr>
                  </w:pPr>
                  <w:r>
                    <w:rPr>
                      <w:rFonts w:hint="eastAsia" w:ascii="宋体" w:hAnsi="宋体" w:cs="仿宋"/>
                      <w:i/>
                      <w:iCs/>
                      <w:color w:val="A6A6A6"/>
                      <w:kern w:val="0"/>
                    </w:rPr>
                    <w:t>选择对服务比较了解，服务次数较多的师生，配合按照10分制给予评分，描述评分依据描述；可以选择多位师生；</w:t>
                  </w:r>
                </w:p>
                <w:p w14:paraId="69074F58">
                  <w:pPr>
                    <w:adjustRightInd w:val="0"/>
                    <w:textAlignment w:val="baseline"/>
                    <w:rPr>
                      <w:rFonts w:ascii="宋体" w:hAnsi="宋体" w:cs="仿宋"/>
                      <w:i/>
                      <w:iCs/>
                      <w:color w:val="A6A6A6"/>
                      <w:kern w:val="0"/>
                    </w:rPr>
                  </w:pPr>
                </w:p>
              </w:tc>
            </w:tr>
            <w:tr w14:paraId="1FD0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935" w:type="dxa"/>
                  <w:shd w:val="clear" w:color="auto" w:fill="auto"/>
                  <w:vAlign w:val="center"/>
                </w:tcPr>
                <w:p w14:paraId="1F1556B7">
                  <w:pPr>
                    <w:adjustRightInd w:val="0"/>
                    <w:textAlignment w:val="baseline"/>
                    <w:rPr>
                      <w:rFonts w:ascii="宋体" w:hAnsi="宋体" w:cs="仿宋"/>
                      <w:b/>
                      <w:bCs/>
                      <w:kern w:val="0"/>
                    </w:rPr>
                  </w:pPr>
                  <w:r>
                    <w:rPr>
                      <w:rFonts w:hint="eastAsia" w:ascii="宋体" w:hAnsi="宋体" w:cs="仿宋"/>
                      <w:b/>
                      <w:bCs/>
                      <w:kern w:val="0"/>
                    </w:rPr>
                    <w:t>备注</w:t>
                  </w:r>
                </w:p>
              </w:tc>
              <w:tc>
                <w:tcPr>
                  <w:tcW w:w="5105" w:type="dxa"/>
                  <w:shd w:val="clear" w:color="auto" w:fill="auto"/>
                </w:tcPr>
                <w:p w14:paraId="10AC8020">
                  <w:pPr>
                    <w:adjustRightInd w:val="0"/>
                    <w:textAlignment w:val="baseline"/>
                    <w:rPr>
                      <w:rFonts w:ascii="宋体" w:hAnsi="宋体" w:cs="仿宋"/>
                      <w:i/>
                      <w:iCs/>
                      <w:color w:val="A6A6A6"/>
                      <w:kern w:val="0"/>
                    </w:rPr>
                  </w:pPr>
                </w:p>
                <w:p w14:paraId="44BC16B4">
                  <w:pPr>
                    <w:adjustRightInd w:val="0"/>
                    <w:textAlignment w:val="baseline"/>
                    <w:rPr>
                      <w:rFonts w:ascii="宋体" w:hAnsi="宋体" w:cs="仿宋"/>
                      <w:i/>
                      <w:iCs/>
                      <w:color w:val="A6A6A6"/>
                      <w:kern w:val="0"/>
                    </w:rPr>
                  </w:pPr>
                  <w:r>
                    <w:rPr>
                      <w:rFonts w:hint="eastAsia" w:ascii="宋体" w:hAnsi="宋体" w:cs="仿宋"/>
                      <w:i/>
                      <w:iCs/>
                      <w:color w:val="A6A6A6"/>
                      <w:kern w:val="0"/>
                    </w:rPr>
                    <w:t>根据实际情况，选择其他服务相关人员参与评价；</w:t>
                  </w:r>
                </w:p>
                <w:p w14:paraId="7EBFD160">
                  <w:pPr>
                    <w:adjustRightInd w:val="0"/>
                    <w:textAlignment w:val="baseline"/>
                    <w:rPr>
                      <w:rFonts w:ascii="宋体" w:hAnsi="宋体" w:cs="仿宋"/>
                      <w:i/>
                      <w:iCs/>
                      <w:color w:val="A6A6A6"/>
                      <w:kern w:val="0"/>
                    </w:rPr>
                  </w:pPr>
                </w:p>
              </w:tc>
            </w:tr>
          </w:tbl>
          <w:p w14:paraId="167A36FB">
            <w:pPr>
              <w:autoSpaceDE w:val="0"/>
              <w:autoSpaceDN w:val="0"/>
              <w:adjustRightInd w:val="0"/>
              <w:spacing w:line="360" w:lineRule="auto"/>
              <w:ind w:firstLine="480" w:firstLineChars="200"/>
              <w:textAlignment w:val="baseline"/>
              <w:rPr>
                <w:rFonts w:ascii="宋体" w:hAnsi="宋体"/>
                <w:bCs/>
                <w:kern w:val="0"/>
                <w:sz w:val="24"/>
                <w:szCs w:val="24"/>
              </w:rPr>
            </w:pPr>
            <w:r>
              <w:rPr>
                <w:rFonts w:hint="eastAsia" w:ascii="宋体" w:hAnsi="宋体"/>
                <w:bCs/>
                <w:kern w:val="0"/>
                <w:sz w:val="24"/>
                <w:szCs w:val="24"/>
              </w:rPr>
              <w:t>学校业务主管每周根据运维主管提交的邮件，做出评价，将邮件转发给服务公司并留底。服务公司每月与学校负责人关于月度客观评价的师生名单做一个选择，而后指定人员与该师生做一次当面沟通，书面评价和确认后，拍照邮件传递给相关人员。</w:t>
            </w:r>
          </w:p>
          <w:p w14:paraId="699C0A28">
            <w:pPr>
              <w:pStyle w:val="10"/>
              <w:numPr>
                <w:ilvl w:val="0"/>
                <w:numId w:val="4"/>
              </w:numPr>
              <w:autoSpaceDE w:val="0"/>
              <w:autoSpaceDN w:val="0"/>
              <w:adjustRightInd w:val="0"/>
              <w:spacing w:line="360" w:lineRule="auto"/>
              <w:ind w:firstLineChars="0"/>
              <w:textAlignment w:val="baseline"/>
              <w:rPr>
                <w:rFonts w:ascii="宋体" w:hAnsi="宋体"/>
                <w:bCs/>
                <w:kern w:val="0"/>
                <w:sz w:val="24"/>
                <w:szCs w:val="24"/>
              </w:rPr>
            </w:pPr>
            <w:r>
              <w:rPr>
                <w:rFonts w:hint="eastAsia" w:ascii="宋体" w:hAnsi="宋体"/>
                <w:bCs/>
                <w:kern w:val="0"/>
                <w:sz w:val="24"/>
                <w:szCs w:val="24"/>
              </w:rPr>
              <w:t>定期考核</w:t>
            </w:r>
          </w:p>
          <w:p w14:paraId="223E8B9B">
            <w:pPr>
              <w:autoSpaceDE w:val="0"/>
              <w:autoSpaceDN w:val="0"/>
              <w:adjustRightInd w:val="0"/>
              <w:spacing w:line="360" w:lineRule="auto"/>
              <w:ind w:firstLine="480" w:firstLineChars="200"/>
              <w:textAlignment w:val="baseline"/>
              <w:rPr>
                <w:rFonts w:ascii="宋体" w:hAnsi="宋体"/>
                <w:bCs/>
                <w:kern w:val="0"/>
                <w:sz w:val="24"/>
                <w:szCs w:val="24"/>
              </w:rPr>
            </w:pPr>
            <w:r>
              <w:rPr>
                <w:rFonts w:hint="eastAsia" w:ascii="宋体" w:hAnsi="宋体"/>
                <w:bCs/>
                <w:kern w:val="0"/>
                <w:sz w:val="24"/>
                <w:szCs w:val="24"/>
              </w:rPr>
              <w:t>定期考核分为月度考核和年度考核。月度考核可以从以下几个方面核算得出具体考核数据（各项权重待讨论明确）：</w:t>
            </w:r>
          </w:p>
          <w:tbl>
            <w:tblPr>
              <w:tblStyle w:val="7"/>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220"/>
              <w:gridCol w:w="1308"/>
              <w:gridCol w:w="1309"/>
              <w:gridCol w:w="1543"/>
            </w:tblGrid>
            <w:tr w14:paraId="145E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080" w:type="dxa"/>
                  <w:gridSpan w:val="5"/>
                </w:tcPr>
                <w:p w14:paraId="547E8270">
                  <w:pPr>
                    <w:adjustRightInd w:val="0"/>
                    <w:spacing w:line="360" w:lineRule="atLeast"/>
                    <w:jc w:val="center"/>
                    <w:textAlignment w:val="baseline"/>
                    <w:rPr>
                      <w:rFonts w:ascii="宋体" w:hAnsi="宋体" w:cs="仿宋"/>
                      <w:b/>
                      <w:bCs/>
                      <w:kern w:val="0"/>
                    </w:rPr>
                  </w:pPr>
                  <w:r>
                    <w:rPr>
                      <w:rFonts w:hint="eastAsia" w:ascii="宋体" w:hAnsi="宋体" w:cs="仿宋"/>
                      <w:b/>
                      <w:bCs/>
                      <w:kern w:val="0"/>
                    </w:rPr>
                    <w:t>上海外国语大学B</w:t>
                  </w:r>
                  <w:r>
                    <w:rPr>
                      <w:rFonts w:hint="eastAsia" w:ascii="宋体" w:hAnsi="宋体"/>
                      <w:b/>
                      <w:bCs/>
                      <w:kern w:val="0"/>
                    </w:rPr>
                    <w:t>lackboard在线教学管理平台</w:t>
                  </w:r>
                  <w:r>
                    <w:rPr>
                      <w:rFonts w:hint="eastAsia" w:ascii="宋体" w:hAnsi="宋体" w:cs="仿宋"/>
                      <w:b/>
                      <w:bCs/>
                      <w:kern w:val="0"/>
                    </w:rPr>
                    <w:t>运维劳务服务外包工作月度评价打分表(20</w:t>
                  </w:r>
                  <w:r>
                    <w:rPr>
                      <w:rFonts w:ascii="宋体" w:hAnsi="宋体" w:cs="仿宋"/>
                      <w:b/>
                      <w:bCs/>
                      <w:kern w:val="0"/>
                    </w:rPr>
                    <w:t>2</w:t>
                  </w:r>
                  <w:r>
                    <w:rPr>
                      <w:rFonts w:hint="eastAsia" w:ascii="宋体" w:hAnsi="宋体" w:cs="仿宋"/>
                      <w:b/>
                      <w:bCs/>
                      <w:kern w:val="0"/>
                    </w:rPr>
                    <w:t>X年X月)</w:t>
                  </w:r>
                </w:p>
              </w:tc>
            </w:tr>
            <w:tr w14:paraId="1E13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00" w:type="dxa"/>
                </w:tcPr>
                <w:p w14:paraId="17DCE618">
                  <w:pPr>
                    <w:adjustRightInd w:val="0"/>
                    <w:spacing w:line="360" w:lineRule="atLeast"/>
                    <w:jc w:val="center"/>
                    <w:textAlignment w:val="baseline"/>
                    <w:rPr>
                      <w:rFonts w:ascii="宋体" w:hAnsi="宋体" w:cs="仿宋"/>
                      <w:b/>
                      <w:bCs/>
                      <w:kern w:val="0"/>
                    </w:rPr>
                  </w:pPr>
                  <w:r>
                    <w:rPr>
                      <w:rFonts w:hint="eastAsia" w:ascii="宋体" w:hAnsi="宋体" w:cs="仿宋"/>
                      <w:b/>
                      <w:bCs/>
                      <w:kern w:val="0"/>
                    </w:rPr>
                    <w:t>序号</w:t>
                  </w:r>
                </w:p>
              </w:tc>
              <w:tc>
                <w:tcPr>
                  <w:tcW w:w="3220" w:type="dxa"/>
                </w:tcPr>
                <w:p w14:paraId="1073EE21">
                  <w:pPr>
                    <w:adjustRightInd w:val="0"/>
                    <w:spacing w:line="360" w:lineRule="atLeast"/>
                    <w:jc w:val="center"/>
                    <w:textAlignment w:val="baseline"/>
                    <w:rPr>
                      <w:rFonts w:ascii="宋体" w:hAnsi="宋体" w:cs="仿宋"/>
                      <w:b/>
                      <w:bCs/>
                      <w:kern w:val="0"/>
                    </w:rPr>
                  </w:pPr>
                  <w:r>
                    <w:rPr>
                      <w:rFonts w:hint="eastAsia" w:ascii="宋体" w:hAnsi="宋体" w:cs="仿宋"/>
                      <w:b/>
                      <w:bCs/>
                      <w:kern w:val="0"/>
                    </w:rPr>
                    <w:t>评分项目</w:t>
                  </w:r>
                </w:p>
              </w:tc>
              <w:tc>
                <w:tcPr>
                  <w:tcW w:w="1308" w:type="dxa"/>
                </w:tcPr>
                <w:p w14:paraId="4A831F6F">
                  <w:pPr>
                    <w:adjustRightInd w:val="0"/>
                    <w:spacing w:line="360" w:lineRule="atLeast"/>
                    <w:jc w:val="center"/>
                    <w:textAlignment w:val="baseline"/>
                    <w:rPr>
                      <w:rFonts w:ascii="宋体" w:hAnsi="宋体" w:cs="仿宋"/>
                      <w:b/>
                      <w:bCs/>
                      <w:kern w:val="0"/>
                    </w:rPr>
                  </w:pPr>
                  <w:r>
                    <w:rPr>
                      <w:rFonts w:hint="eastAsia" w:ascii="宋体" w:hAnsi="宋体" w:cs="仿宋"/>
                      <w:b/>
                      <w:bCs/>
                      <w:kern w:val="0"/>
                    </w:rPr>
                    <w:t>评分</w:t>
                  </w:r>
                </w:p>
              </w:tc>
              <w:tc>
                <w:tcPr>
                  <w:tcW w:w="1309" w:type="dxa"/>
                </w:tcPr>
                <w:p w14:paraId="2359CF0D">
                  <w:pPr>
                    <w:adjustRightInd w:val="0"/>
                    <w:spacing w:line="360" w:lineRule="atLeast"/>
                    <w:jc w:val="center"/>
                    <w:textAlignment w:val="baseline"/>
                    <w:rPr>
                      <w:rFonts w:ascii="宋体" w:hAnsi="宋体" w:cs="仿宋"/>
                      <w:b/>
                      <w:bCs/>
                      <w:kern w:val="0"/>
                    </w:rPr>
                  </w:pPr>
                  <w:r>
                    <w:rPr>
                      <w:rFonts w:hint="eastAsia" w:ascii="宋体" w:hAnsi="宋体" w:cs="仿宋"/>
                      <w:b/>
                      <w:bCs/>
                      <w:kern w:val="0"/>
                    </w:rPr>
                    <w:t>权重</w:t>
                  </w:r>
                </w:p>
              </w:tc>
              <w:tc>
                <w:tcPr>
                  <w:tcW w:w="1543" w:type="dxa"/>
                </w:tcPr>
                <w:p w14:paraId="4768E483">
                  <w:pPr>
                    <w:adjustRightInd w:val="0"/>
                    <w:spacing w:line="360" w:lineRule="atLeast"/>
                    <w:jc w:val="center"/>
                    <w:textAlignment w:val="baseline"/>
                    <w:rPr>
                      <w:rFonts w:ascii="宋体" w:hAnsi="宋体" w:cs="仿宋"/>
                      <w:b/>
                      <w:bCs/>
                      <w:kern w:val="0"/>
                    </w:rPr>
                  </w:pPr>
                  <w:r>
                    <w:rPr>
                      <w:rFonts w:hint="eastAsia" w:ascii="宋体" w:hAnsi="宋体" w:cs="仿宋"/>
                      <w:b/>
                      <w:bCs/>
                      <w:kern w:val="0"/>
                    </w:rPr>
                    <w:t>计算得分</w:t>
                  </w:r>
                </w:p>
              </w:tc>
            </w:tr>
            <w:tr w14:paraId="77DC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00" w:type="dxa"/>
                </w:tcPr>
                <w:p w14:paraId="67173268">
                  <w:pPr>
                    <w:adjustRightInd w:val="0"/>
                    <w:spacing w:line="360" w:lineRule="atLeast"/>
                    <w:jc w:val="center"/>
                    <w:textAlignment w:val="baseline"/>
                    <w:rPr>
                      <w:rFonts w:ascii="宋体" w:hAnsi="宋体" w:cs="仿宋"/>
                      <w:kern w:val="0"/>
                    </w:rPr>
                  </w:pPr>
                  <w:r>
                    <w:rPr>
                      <w:rFonts w:hint="eastAsia" w:ascii="宋体" w:hAnsi="宋体" w:cs="仿宋"/>
                      <w:kern w:val="0"/>
                    </w:rPr>
                    <w:t>1</w:t>
                  </w:r>
                </w:p>
              </w:tc>
              <w:tc>
                <w:tcPr>
                  <w:tcW w:w="3220" w:type="dxa"/>
                </w:tcPr>
                <w:p w14:paraId="7FF5A036">
                  <w:pPr>
                    <w:adjustRightInd w:val="0"/>
                    <w:spacing w:line="360" w:lineRule="atLeast"/>
                    <w:textAlignment w:val="baseline"/>
                    <w:rPr>
                      <w:rFonts w:ascii="宋体" w:hAnsi="宋体" w:cs="仿宋"/>
                      <w:kern w:val="0"/>
                    </w:rPr>
                  </w:pPr>
                  <w:r>
                    <w:rPr>
                      <w:rFonts w:hint="eastAsia" w:ascii="宋体" w:hAnsi="宋体" w:cs="仿宋"/>
                      <w:kern w:val="0"/>
                    </w:rPr>
                    <w:t>当月各周业务主管打分平均分</w:t>
                  </w:r>
                </w:p>
              </w:tc>
              <w:tc>
                <w:tcPr>
                  <w:tcW w:w="1308" w:type="dxa"/>
                </w:tcPr>
                <w:p w14:paraId="0D102F0E">
                  <w:pPr>
                    <w:adjustRightInd w:val="0"/>
                    <w:spacing w:line="360" w:lineRule="atLeast"/>
                    <w:textAlignment w:val="baseline"/>
                    <w:rPr>
                      <w:rFonts w:ascii="宋体" w:hAnsi="宋体" w:cs="仿宋"/>
                      <w:kern w:val="0"/>
                    </w:rPr>
                  </w:pPr>
                </w:p>
              </w:tc>
              <w:tc>
                <w:tcPr>
                  <w:tcW w:w="1309" w:type="dxa"/>
                </w:tcPr>
                <w:p w14:paraId="40E9F43E">
                  <w:pPr>
                    <w:adjustRightInd w:val="0"/>
                    <w:spacing w:line="360" w:lineRule="atLeast"/>
                    <w:jc w:val="center"/>
                    <w:textAlignment w:val="baseline"/>
                    <w:rPr>
                      <w:rFonts w:ascii="宋体" w:hAnsi="宋体" w:cs="仿宋"/>
                      <w:kern w:val="0"/>
                    </w:rPr>
                  </w:pPr>
                  <w:r>
                    <w:rPr>
                      <w:rFonts w:hint="eastAsia" w:ascii="宋体" w:hAnsi="宋体" w:cs="仿宋"/>
                      <w:kern w:val="0"/>
                    </w:rPr>
                    <w:t>25%</w:t>
                  </w:r>
                </w:p>
              </w:tc>
              <w:tc>
                <w:tcPr>
                  <w:tcW w:w="1543" w:type="dxa"/>
                </w:tcPr>
                <w:p w14:paraId="6A4BC54A">
                  <w:pPr>
                    <w:adjustRightInd w:val="0"/>
                    <w:spacing w:line="360" w:lineRule="atLeast"/>
                    <w:textAlignment w:val="baseline"/>
                    <w:rPr>
                      <w:rFonts w:ascii="宋体" w:hAnsi="宋体" w:cs="仿宋"/>
                      <w:kern w:val="0"/>
                    </w:rPr>
                  </w:pPr>
                </w:p>
              </w:tc>
            </w:tr>
            <w:tr w14:paraId="02F9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00" w:type="dxa"/>
                </w:tcPr>
                <w:p w14:paraId="635D9160">
                  <w:pPr>
                    <w:adjustRightInd w:val="0"/>
                    <w:spacing w:line="360" w:lineRule="atLeast"/>
                    <w:jc w:val="center"/>
                    <w:textAlignment w:val="baseline"/>
                    <w:rPr>
                      <w:rFonts w:ascii="宋体" w:hAnsi="宋体" w:cs="仿宋"/>
                      <w:kern w:val="0"/>
                    </w:rPr>
                  </w:pPr>
                  <w:r>
                    <w:rPr>
                      <w:rFonts w:hint="eastAsia" w:ascii="宋体" w:hAnsi="宋体" w:cs="仿宋"/>
                      <w:kern w:val="0"/>
                    </w:rPr>
                    <w:t>2</w:t>
                  </w:r>
                </w:p>
              </w:tc>
              <w:tc>
                <w:tcPr>
                  <w:tcW w:w="3220" w:type="dxa"/>
                </w:tcPr>
                <w:p w14:paraId="179EF51B">
                  <w:pPr>
                    <w:adjustRightInd w:val="0"/>
                    <w:spacing w:line="360" w:lineRule="atLeast"/>
                    <w:textAlignment w:val="baseline"/>
                    <w:rPr>
                      <w:rFonts w:ascii="宋体" w:hAnsi="宋体" w:cs="仿宋"/>
                      <w:kern w:val="0"/>
                    </w:rPr>
                  </w:pPr>
                  <w:r>
                    <w:rPr>
                      <w:rFonts w:hint="eastAsia" w:ascii="宋体" w:hAnsi="宋体" w:cs="仿宋"/>
                      <w:kern w:val="0"/>
                    </w:rPr>
                    <w:t>当月各周学校主管打分平均分</w:t>
                  </w:r>
                </w:p>
              </w:tc>
              <w:tc>
                <w:tcPr>
                  <w:tcW w:w="1308" w:type="dxa"/>
                </w:tcPr>
                <w:p w14:paraId="482DCF7F">
                  <w:pPr>
                    <w:adjustRightInd w:val="0"/>
                    <w:spacing w:line="360" w:lineRule="atLeast"/>
                    <w:textAlignment w:val="baseline"/>
                    <w:rPr>
                      <w:rFonts w:ascii="宋体" w:hAnsi="宋体" w:cs="仿宋"/>
                      <w:kern w:val="0"/>
                    </w:rPr>
                  </w:pPr>
                </w:p>
              </w:tc>
              <w:tc>
                <w:tcPr>
                  <w:tcW w:w="1309" w:type="dxa"/>
                </w:tcPr>
                <w:p w14:paraId="207E07F1">
                  <w:pPr>
                    <w:adjustRightInd w:val="0"/>
                    <w:spacing w:line="360" w:lineRule="atLeast"/>
                    <w:jc w:val="center"/>
                    <w:textAlignment w:val="baseline"/>
                    <w:rPr>
                      <w:rFonts w:ascii="宋体" w:hAnsi="宋体" w:cs="仿宋"/>
                      <w:kern w:val="0"/>
                    </w:rPr>
                  </w:pPr>
                  <w:r>
                    <w:rPr>
                      <w:rFonts w:hint="eastAsia" w:ascii="宋体" w:hAnsi="宋体" w:cs="仿宋"/>
                      <w:kern w:val="0"/>
                    </w:rPr>
                    <w:t>25%</w:t>
                  </w:r>
                </w:p>
              </w:tc>
              <w:tc>
                <w:tcPr>
                  <w:tcW w:w="1543" w:type="dxa"/>
                </w:tcPr>
                <w:p w14:paraId="1E0362FF">
                  <w:pPr>
                    <w:adjustRightInd w:val="0"/>
                    <w:spacing w:line="360" w:lineRule="atLeast"/>
                    <w:textAlignment w:val="baseline"/>
                    <w:rPr>
                      <w:rFonts w:ascii="宋体" w:hAnsi="宋体" w:cs="仿宋"/>
                      <w:kern w:val="0"/>
                    </w:rPr>
                  </w:pPr>
                </w:p>
              </w:tc>
            </w:tr>
            <w:tr w14:paraId="2399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00" w:type="dxa"/>
                </w:tcPr>
                <w:p w14:paraId="3D367134">
                  <w:pPr>
                    <w:adjustRightInd w:val="0"/>
                    <w:spacing w:line="360" w:lineRule="atLeast"/>
                    <w:jc w:val="center"/>
                    <w:textAlignment w:val="baseline"/>
                    <w:rPr>
                      <w:rFonts w:ascii="宋体" w:hAnsi="宋体" w:cs="仿宋"/>
                      <w:kern w:val="0"/>
                    </w:rPr>
                  </w:pPr>
                  <w:r>
                    <w:rPr>
                      <w:rFonts w:hint="eastAsia" w:ascii="宋体" w:hAnsi="宋体" w:cs="仿宋"/>
                      <w:kern w:val="0"/>
                    </w:rPr>
                    <w:t>3</w:t>
                  </w:r>
                </w:p>
              </w:tc>
              <w:tc>
                <w:tcPr>
                  <w:tcW w:w="3220" w:type="dxa"/>
                </w:tcPr>
                <w:p w14:paraId="6CA1A298">
                  <w:pPr>
                    <w:adjustRightInd w:val="0"/>
                    <w:spacing w:line="360" w:lineRule="atLeast"/>
                    <w:textAlignment w:val="baseline"/>
                    <w:rPr>
                      <w:rFonts w:ascii="宋体" w:hAnsi="宋体" w:cs="仿宋"/>
                      <w:kern w:val="0"/>
                    </w:rPr>
                  </w:pPr>
                  <w:r>
                    <w:rPr>
                      <w:rFonts w:hint="eastAsia" w:ascii="宋体" w:hAnsi="宋体" w:cs="仿宋"/>
                      <w:kern w:val="0"/>
                    </w:rPr>
                    <w:t>当月师生评价打分的平均得分</w:t>
                  </w:r>
                </w:p>
              </w:tc>
              <w:tc>
                <w:tcPr>
                  <w:tcW w:w="1308" w:type="dxa"/>
                </w:tcPr>
                <w:p w14:paraId="0FE795BC">
                  <w:pPr>
                    <w:adjustRightInd w:val="0"/>
                    <w:spacing w:line="360" w:lineRule="atLeast"/>
                    <w:textAlignment w:val="baseline"/>
                    <w:rPr>
                      <w:rFonts w:ascii="宋体" w:hAnsi="宋体" w:cs="仿宋"/>
                      <w:kern w:val="0"/>
                    </w:rPr>
                  </w:pPr>
                </w:p>
              </w:tc>
              <w:tc>
                <w:tcPr>
                  <w:tcW w:w="1309" w:type="dxa"/>
                </w:tcPr>
                <w:p w14:paraId="42681228">
                  <w:pPr>
                    <w:adjustRightInd w:val="0"/>
                    <w:spacing w:line="360" w:lineRule="atLeast"/>
                    <w:jc w:val="center"/>
                    <w:textAlignment w:val="baseline"/>
                    <w:rPr>
                      <w:rFonts w:ascii="宋体" w:hAnsi="宋体" w:cs="仿宋"/>
                      <w:kern w:val="0"/>
                    </w:rPr>
                  </w:pPr>
                  <w:r>
                    <w:rPr>
                      <w:rFonts w:hint="eastAsia" w:ascii="宋体" w:hAnsi="宋体" w:cs="仿宋"/>
                      <w:kern w:val="0"/>
                    </w:rPr>
                    <w:t>25%</w:t>
                  </w:r>
                </w:p>
              </w:tc>
              <w:tc>
                <w:tcPr>
                  <w:tcW w:w="1543" w:type="dxa"/>
                </w:tcPr>
                <w:p w14:paraId="2D8D5F99">
                  <w:pPr>
                    <w:adjustRightInd w:val="0"/>
                    <w:spacing w:line="360" w:lineRule="atLeast"/>
                    <w:textAlignment w:val="baseline"/>
                    <w:rPr>
                      <w:rFonts w:ascii="宋体" w:hAnsi="宋体" w:cs="仿宋"/>
                      <w:kern w:val="0"/>
                    </w:rPr>
                  </w:pPr>
                </w:p>
              </w:tc>
            </w:tr>
            <w:tr w14:paraId="4520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00" w:type="dxa"/>
                </w:tcPr>
                <w:p w14:paraId="4B2A9E82">
                  <w:pPr>
                    <w:adjustRightInd w:val="0"/>
                    <w:spacing w:line="360" w:lineRule="atLeast"/>
                    <w:jc w:val="center"/>
                    <w:textAlignment w:val="baseline"/>
                    <w:rPr>
                      <w:rFonts w:ascii="宋体" w:hAnsi="宋体" w:cs="仿宋"/>
                      <w:kern w:val="0"/>
                    </w:rPr>
                  </w:pPr>
                  <w:r>
                    <w:rPr>
                      <w:rFonts w:hint="eastAsia" w:ascii="宋体" w:hAnsi="宋体" w:cs="仿宋"/>
                      <w:kern w:val="0"/>
                    </w:rPr>
                    <w:t>4</w:t>
                  </w:r>
                </w:p>
              </w:tc>
              <w:tc>
                <w:tcPr>
                  <w:tcW w:w="3220" w:type="dxa"/>
                </w:tcPr>
                <w:p w14:paraId="3D0FC7F4">
                  <w:pPr>
                    <w:adjustRightInd w:val="0"/>
                    <w:spacing w:line="360" w:lineRule="atLeast"/>
                    <w:textAlignment w:val="baseline"/>
                    <w:rPr>
                      <w:rFonts w:ascii="宋体" w:hAnsi="宋体" w:cs="仿宋"/>
                      <w:kern w:val="0"/>
                    </w:rPr>
                  </w:pPr>
                  <w:r>
                    <w:rPr>
                      <w:rFonts w:hint="eastAsia" w:ascii="宋体" w:hAnsi="宋体" w:cs="仿宋"/>
                      <w:kern w:val="0"/>
                    </w:rPr>
                    <w:t>运维服务工作领导总体评价得分</w:t>
                  </w:r>
                </w:p>
              </w:tc>
              <w:tc>
                <w:tcPr>
                  <w:tcW w:w="1308" w:type="dxa"/>
                </w:tcPr>
                <w:p w14:paraId="2176B69B">
                  <w:pPr>
                    <w:adjustRightInd w:val="0"/>
                    <w:spacing w:line="360" w:lineRule="atLeast"/>
                    <w:textAlignment w:val="baseline"/>
                    <w:rPr>
                      <w:rFonts w:ascii="宋体" w:hAnsi="宋体" w:cs="仿宋"/>
                      <w:kern w:val="0"/>
                    </w:rPr>
                  </w:pPr>
                </w:p>
              </w:tc>
              <w:tc>
                <w:tcPr>
                  <w:tcW w:w="1309" w:type="dxa"/>
                </w:tcPr>
                <w:p w14:paraId="62481F6A">
                  <w:pPr>
                    <w:adjustRightInd w:val="0"/>
                    <w:spacing w:line="360" w:lineRule="atLeast"/>
                    <w:jc w:val="center"/>
                    <w:textAlignment w:val="baseline"/>
                    <w:rPr>
                      <w:rFonts w:ascii="宋体" w:hAnsi="宋体" w:cs="仿宋"/>
                      <w:kern w:val="0"/>
                    </w:rPr>
                  </w:pPr>
                  <w:r>
                    <w:rPr>
                      <w:rFonts w:hint="eastAsia" w:ascii="宋体" w:hAnsi="宋体" w:cs="仿宋"/>
                      <w:kern w:val="0"/>
                    </w:rPr>
                    <w:t>25%</w:t>
                  </w:r>
                </w:p>
              </w:tc>
              <w:tc>
                <w:tcPr>
                  <w:tcW w:w="1543" w:type="dxa"/>
                </w:tcPr>
                <w:p w14:paraId="03EA0DD0">
                  <w:pPr>
                    <w:adjustRightInd w:val="0"/>
                    <w:spacing w:line="360" w:lineRule="atLeast"/>
                    <w:textAlignment w:val="baseline"/>
                    <w:rPr>
                      <w:rFonts w:ascii="宋体" w:hAnsi="宋体" w:cs="仿宋"/>
                      <w:kern w:val="0"/>
                    </w:rPr>
                  </w:pPr>
                </w:p>
              </w:tc>
            </w:tr>
            <w:tr w14:paraId="1119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00" w:type="dxa"/>
                </w:tcPr>
                <w:p w14:paraId="0D8F93A7">
                  <w:pPr>
                    <w:adjustRightInd w:val="0"/>
                    <w:spacing w:line="360" w:lineRule="atLeast"/>
                    <w:jc w:val="center"/>
                    <w:textAlignment w:val="baseline"/>
                    <w:rPr>
                      <w:rFonts w:ascii="宋体" w:hAnsi="宋体" w:cs="仿宋"/>
                      <w:kern w:val="0"/>
                    </w:rPr>
                  </w:pPr>
                  <w:r>
                    <w:rPr>
                      <w:rFonts w:hint="eastAsia" w:ascii="宋体" w:hAnsi="宋体" w:cs="仿宋"/>
                      <w:kern w:val="0"/>
                    </w:rPr>
                    <w:t>5</w:t>
                  </w:r>
                </w:p>
              </w:tc>
              <w:tc>
                <w:tcPr>
                  <w:tcW w:w="5837" w:type="dxa"/>
                  <w:gridSpan w:val="3"/>
                </w:tcPr>
                <w:p w14:paraId="58203779">
                  <w:pPr>
                    <w:adjustRightInd w:val="0"/>
                    <w:spacing w:line="360" w:lineRule="atLeast"/>
                    <w:jc w:val="center"/>
                    <w:textAlignment w:val="baseline"/>
                    <w:rPr>
                      <w:rFonts w:ascii="宋体" w:hAnsi="宋体" w:cs="仿宋"/>
                      <w:kern w:val="0"/>
                    </w:rPr>
                  </w:pPr>
                  <w:r>
                    <w:rPr>
                      <w:rFonts w:hint="eastAsia" w:ascii="宋体" w:hAnsi="宋体" w:cs="仿宋"/>
                      <w:kern w:val="0"/>
                    </w:rPr>
                    <w:t>最终加权计算得分（10分制）：</w:t>
                  </w:r>
                </w:p>
              </w:tc>
              <w:tc>
                <w:tcPr>
                  <w:tcW w:w="1543" w:type="dxa"/>
                </w:tcPr>
                <w:p w14:paraId="66FCF392">
                  <w:pPr>
                    <w:adjustRightInd w:val="0"/>
                    <w:spacing w:line="360" w:lineRule="atLeast"/>
                    <w:textAlignment w:val="baseline"/>
                    <w:rPr>
                      <w:rFonts w:ascii="宋体" w:hAnsi="宋体" w:cs="仿宋"/>
                      <w:kern w:val="0"/>
                    </w:rPr>
                  </w:pPr>
                </w:p>
              </w:tc>
            </w:tr>
          </w:tbl>
          <w:p w14:paraId="0D0725C0">
            <w:pPr>
              <w:spacing w:line="360" w:lineRule="auto"/>
              <w:ind w:firstLine="480" w:firstLineChars="200"/>
              <w:rPr>
                <w:sz w:val="24"/>
                <w:szCs w:val="24"/>
              </w:rPr>
            </w:pPr>
            <w:r>
              <w:rPr>
                <w:rFonts w:hint="eastAsia"/>
                <w:sz w:val="24"/>
                <w:szCs w:val="24"/>
              </w:rPr>
              <w:t>年度考核数据建立在月度考核数据之上，在年底时核算个项目的平均得分，而后由学校业务主管和领导，结合年初的运维服务合同、运维服务计划，综合学校领导或者师生随机抽样调查得分，调整合适的各项目加权得分，最终得出计算得分。</w:t>
            </w:r>
          </w:p>
          <w:tbl>
            <w:tblPr>
              <w:tblStyle w:val="7"/>
              <w:tblW w:w="8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664"/>
              <w:gridCol w:w="1430"/>
              <w:gridCol w:w="1170"/>
              <w:gridCol w:w="1043"/>
            </w:tblGrid>
            <w:tr w14:paraId="3EA1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060" w:type="dxa"/>
                  <w:gridSpan w:val="5"/>
                </w:tcPr>
                <w:p w14:paraId="663FF4DD">
                  <w:pPr>
                    <w:adjustRightInd w:val="0"/>
                    <w:spacing w:line="360" w:lineRule="atLeast"/>
                    <w:jc w:val="center"/>
                    <w:textAlignment w:val="baseline"/>
                    <w:rPr>
                      <w:rFonts w:ascii="宋体" w:hAnsi="宋体" w:cs="仿宋"/>
                      <w:b/>
                      <w:bCs/>
                      <w:kern w:val="0"/>
                    </w:rPr>
                  </w:pPr>
                  <w:r>
                    <w:rPr>
                      <w:rFonts w:hint="eastAsia" w:ascii="宋体" w:hAnsi="宋体" w:cs="仿宋"/>
                      <w:b/>
                      <w:bCs/>
                      <w:kern w:val="0"/>
                    </w:rPr>
                    <w:t>202X年上海外国语大学B</w:t>
                  </w:r>
                  <w:r>
                    <w:rPr>
                      <w:rFonts w:hint="eastAsia" w:ascii="宋体" w:hAnsi="宋体"/>
                      <w:b/>
                      <w:bCs/>
                      <w:kern w:val="0"/>
                    </w:rPr>
                    <w:t>lackboard在线教学管理平台</w:t>
                  </w:r>
                  <w:r>
                    <w:rPr>
                      <w:rFonts w:hint="eastAsia" w:ascii="宋体" w:hAnsi="宋体" w:cs="仿宋"/>
                      <w:b/>
                      <w:bCs/>
                      <w:kern w:val="0"/>
                    </w:rPr>
                    <w:t>运维劳务服务外包工作评价打分表</w:t>
                  </w:r>
                </w:p>
              </w:tc>
            </w:tr>
            <w:tr w14:paraId="0028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3" w:type="dxa"/>
                </w:tcPr>
                <w:p w14:paraId="5C4502E3">
                  <w:pPr>
                    <w:adjustRightInd w:val="0"/>
                    <w:spacing w:line="360" w:lineRule="atLeast"/>
                    <w:jc w:val="center"/>
                    <w:textAlignment w:val="baseline"/>
                    <w:rPr>
                      <w:rFonts w:ascii="宋体" w:hAnsi="宋体" w:cs="仿宋"/>
                      <w:b/>
                      <w:bCs/>
                      <w:kern w:val="0"/>
                    </w:rPr>
                  </w:pPr>
                  <w:r>
                    <w:rPr>
                      <w:rFonts w:hint="eastAsia" w:ascii="宋体" w:hAnsi="宋体" w:cs="仿宋"/>
                      <w:b/>
                      <w:bCs/>
                      <w:kern w:val="0"/>
                    </w:rPr>
                    <w:t>序号</w:t>
                  </w:r>
                </w:p>
              </w:tc>
              <w:tc>
                <w:tcPr>
                  <w:tcW w:w="3664" w:type="dxa"/>
                </w:tcPr>
                <w:p w14:paraId="5E8C9B86">
                  <w:pPr>
                    <w:adjustRightInd w:val="0"/>
                    <w:spacing w:line="360" w:lineRule="atLeast"/>
                    <w:jc w:val="center"/>
                    <w:textAlignment w:val="baseline"/>
                    <w:rPr>
                      <w:rFonts w:ascii="宋体" w:hAnsi="宋体" w:cs="仿宋"/>
                      <w:b/>
                      <w:bCs/>
                      <w:kern w:val="0"/>
                    </w:rPr>
                  </w:pPr>
                  <w:r>
                    <w:rPr>
                      <w:rFonts w:hint="eastAsia" w:ascii="宋体" w:hAnsi="宋体" w:cs="仿宋"/>
                      <w:b/>
                      <w:bCs/>
                      <w:kern w:val="0"/>
                    </w:rPr>
                    <w:t>评分项目</w:t>
                  </w:r>
                </w:p>
              </w:tc>
              <w:tc>
                <w:tcPr>
                  <w:tcW w:w="1430" w:type="dxa"/>
                </w:tcPr>
                <w:p w14:paraId="53375472">
                  <w:pPr>
                    <w:adjustRightInd w:val="0"/>
                    <w:spacing w:line="360" w:lineRule="atLeast"/>
                    <w:jc w:val="center"/>
                    <w:textAlignment w:val="baseline"/>
                    <w:rPr>
                      <w:rFonts w:ascii="宋体" w:hAnsi="宋体" w:cs="仿宋"/>
                      <w:b/>
                      <w:bCs/>
                      <w:kern w:val="0"/>
                    </w:rPr>
                  </w:pPr>
                  <w:r>
                    <w:rPr>
                      <w:rFonts w:hint="eastAsia" w:ascii="宋体" w:hAnsi="宋体" w:cs="仿宋"/>
                      <w:b/>
                      <w:bCs/>
                      <w:kern w:val="0"/>
                    </w:rPr>
                    <w:t>评分</w:t>
                  </w:r>
                </w:p>
              </w:tc>
              <w:tc>
                <w:tcPr>
                  <w:tcW w:w="1170" w:type="dxa"/>
                </w:tcPr>
                <w:p w14:paraId="0CAF816B">
                  <w:pPr>
                    <w:adjustRightInd w:val="0"/>
                    <w:spacing w:line="360" w:lineRule="atLeast"/>
                    <w:jc w:val="center"/>
                    <w:textAlignment w:val="baseline"/>
                    <w:rPr>
                      <w:rFonts w:ascii="宋体" w:hAnsi="宋体" w:cs="仿宋"/>
                      <w:b/>
                      <w:bCs/>
                      <w:kern w:val="0"/>
                    </w:rPr>
                  </w:pPr>
                  <w:r>
                    <w:rPr>
                      <w:rFonts w:hint="eastAsia" w:ascii="宋体" w:hAnsi="宋体" w:cs="仿宋"/>
                      <w:b/>
                      <w:bCs/>
                      <w:kern w:val="0"/>
                    </w:rPr>
                    <w:t>权重</w:t>
                  </w:r>
                </w:p>
              </w:tc>
              <w:tc>
                <w:tcPr>
                  <w:tcW w:w="1043" w:type="dxa"/>
                </w:tcPr>
                <w:p w14:paraId="44049DD8">
                  <w:pPr>
                    <w:adjustRightInd w:val="0"/>
                    <w:spacing w:line="360" w:lineRule="atLeast"/>
                    <w:jc w:val="center"/>
                    <w:textAlignment w:val="baseline"/>
                    <w:rPr>
                      <w:rFonts w:ascii="宋体" w:hAnsi="宋体" w:cs="仿宋"/>
                      <w:b/>
                      <w:bCs/>
                      <w:kern w:val="0"/>
                    </w:rPr>
                  </w:pPr>
                  <w:r>
                    <w:rPr>
                      <w:rFonts w:hint="eastAsia" w:ascii="宋体" w:hAnsi="宋体" w:cs="仿宋"/>
                      <w:b/>
                      <w:bCs/>
                      <w:kern w:val="0"/>
                    </w:rPr>
                    <w:t>计算得分</w:t>
                  </w:r>
                </w:p>
              </w:tc>
            </w:tr>
            <w:tr w14:paraId="580B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3" w:type="dxa"/>
                </w:tcPr>
                <w:p w14:paraId="218F7A32">
                  <w:pPr>
                    <w:adjustRightInd w:val="0"/>
                    <w:spacing w:line="360" w:lineRule="atLeast"/>
                    <w:jc w:val="center"/>
                    <w:textAlignment w:val="baseline"/>
                    <w:rPr>
                      <w:rFonts w:ascii="宋体" w:hAnsi="宋体" w:cs="仿宋"/>
                      <w:kern w:val="0"/>
                    </w:rPr>
                  </w:pPr>
                  <w:r>
                    <w:rPr>
                      <w:rFonts w:hint="eastAsia" w:ascii="宋体" w:hAnsi="宋体" w:cs="仿宋"/>
                      <w:kern w:val="0"/>
                    </w:rPr>
                    <w:t>1</w:t>
                  </w:r>
                </w:p>
              </w:tc>
              <w:tc>
                <w:tcPr>
                  <w:tcW w:w="3664" w:type="dxa"/>
                </w:tcPr>
                <w:p w14:paraId="184F8E82">
                  <w:pPr>
                    <w:adjustRightInd w:val="0"/>
                    <w:spacing w:line="360" w:lineRule="atLeast"/>
                    <w:textAlignment w:val="baseline"/>
                    <w:rPr>
                      <w:rFonts w:ascii="宋体" w:hAnsi="宋体" w:cs="仿宋"/>
                      <w:kern w:val="0"/>
                    </w:rPr>
                  </w:pPr>
                  <w:r>
                    <w:rPr>
                      <w:rFonts w:hint="eastAsia" w:ascii="宋体" w:hAnsi="宋体" w:cs="仿宋"/>
                      <w:kern w:val="0"/>
                    </w:rPr>
                    <w:t>过去12个月每月最终评价得分</w:t>
                  </w:r>
                </w:p>
              </w:tc>
              <w:tc>
                <w:tcPr>
                  <w:tcW w:w="1430" w:type="dxa"/>
                </w:tcPr>
                <w:p w14:paraId="3F1AD7E2">
                  <w:pPr>
                    <w:adjustRightInd w:val="0"/>
                    <w:spacing w:line="360" w:lineRule="atLeast"/>
                    <w:textAlignment w:val="baseline"/>
                    <w:rPr>
                      <w:rFonts w:ascii="宋体" w:hAnsi="宋体" w:cs="仿宋"/>
                      <w:kern w:val="0"/>
                    </w:rPr>
                  </w:pPr>
                </w:p>
              </w:tc>
              <w:tc>
                <w:tcPr>
                  <w:tcW w:w="1170" w:type="dxa"/>
                </w:tcPr>
                <w:p w14:paraId="03D8DDF6">
                  <w:pPr>
                    <w:adjustRightInd w:val="0"/>
                    <w:spacing w:line="360" w:lineRule="atLeast"/>
                    <w:jc w:val="center"/>
                    <w:textAlignment w:val="baseline"/>
                    <w:rPr>
                      <w:rFonts w:ascii="宋体" w:hAnsi="宋体" w:cs="仿宋"/>
                      <w:kern w:val="0"/>
                    </w:rPr>
                  </w:pPr>
                  <w:r>
                    <w:rPr>
                      <w:rFonts w:hint="eastAsia" w:ascii="宋体" w:hAnsi="宋体" w:cs="仿宋"/>
                      <w:kern w:val="0"/>
                    </w:rPr>
                    <w:t>40%</w:t>
                  </w:r>
                </w:p>
              </w:tc>
              <w:tc>
                <w:tcPr>
                  <w:tcW w:w="1043" w:type="dxa"/>
                </w:tcPr>
                <w:p w14:paraId="31C7C637">
                  <w:pPr>
                    <w:adjustRightInd w:val="0"/>
                    <w:spacing w:line="360" w:lineRule="atLeast"/>
                    <w:textAlignment w:val="baseline"/>
                    <w:rPr>
                      <w:rFonts w:ascii="宋体" w:hAnsi="宋体" w:cs="仿宋"/>
                      <w:kern w:val="0"/>
                    </w:rPr>
                  </w:pPr>
                </w:p>
              </w:tc>
            </w:tr>
            <w:tr w14:paraId="4D83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3" w:type="dxa"/>
                </w:tcPr>
                <w:p w14:paraId="5BAAB01D">
                  <w:pPr>
                    <w:adjustRightInd w:val="0"/>
                    <w:spacing w:line="360" w:lineRule="atLeast"/>
                    <w:jc w:val="center"/>
                    <w:textAlignment w:val="baseline"/>
                    <w:rPr>
                      <w:rFonts w:ascii="宋体" w:hAnsi="宋体" w:cs="仿宋"/>
                      <w:kern w:val="0"/>
                    </w:rPr>
                  </w:pPr>
                  <w:r>
                    <w:rPr>
                      <w:rFonts w:hint="eastAsia" w:ascii="宋体" w:hAnsi="宋体" w:cs="仿宋"/>
                      <w:kern w:val="0"/>
                    </w:rPr>
                    <w:t>2</w:t>
                  </w:r>
                </w:p>
              </w:tc>
              <w:tc>
                <w:tcPr>
                  <w:tcW w:w="3664" w:type="dxa"/>
                </w:tcPr>
                <w:p w14:paraId="3E3327B2">
                  <w:pPr>
                    <w:adjustRightInd w:val="0"/>
                    <w:spacing w:line="360" w:lineRule="atLeast"/>
                    <w:textAlignment w:val="baseline"/>
                    <w:rPr>
                      <w:rFonts w:ascii="宋体" w:hAnsi="宋体" w:cs="仿宋"/>
                      <w:kern w:val="0"/>
                    </w:rPr>
                  </w:pPr>
                  <w:r>
                    <w:rPr>
                      <w:rFonts w:hint="eastAsia" w:ascii="宋体" w:hAnsi="宋体" w:cs="仿宋"/>
                      <w:kern w:val="0"/>
                    </w:rPr>
                    <w:t>结合服务合同总体情况评价得分</w:t>
                  </w:r>
                </w:p>
              </w:tc>
              <w:tc>
                <w:tcPr>
                  <w:tcW w:w="1430" w:type="dxa"/>
                </w:tcPr>
                <w:p w14:paraId="4B86A55D">
                  <w:pPr>
                    <w:adjustRightInd w:val="0"/>
                    <w:spacing w:line="360" w:lineRule="atLeast"/>
                    <w:textAlignment w:val="baseline"/>
                    <w:rPr>
                      <w:rFonts w:ascii="宋体" w:hAnsi="宋体" w:cs="仿宋"/>
                      <w:kern w:val="0"/>
                    </w:rPr>
                  </w:pPr>
                </w:p>
              </w:tc>
              <w:tc>
                <w:tcPr>
                  <w:tcW w:w="1170" w:type="dxa"/>
                </w:tcPr>
                <w:p w14:paraId="0782C87D">
                  <w:pPr>
                    <w:adjustRightInd w:val="0"/>
                    <w:spacing w:line="360" w:lineRule="atLeast"/>
                    <w:jc w:val="center"/>
                    <w:textAlignment w:val="baseline"/>
                    <w:rPr>
                      <w:rFonts w:ascii="宋体" w:hAnsi="宋体" w:cs="仿宋"/>
                      <w:kern w:val="0"/>
                    </w:rPr>
                  </w:pPr>
                  <w:r>
                    <w:rPr>
                      <w:rFonts w:hint="eastAsia" w:ascii="宋体" w:hAnsi="宋体" w:cs="仿宋"/>
                      <w:kern w:val="0"/>
                    </w:rPr>
                    <w:t>15%</w:t>
                  </w:r>
                </w:p>
              </w:tc>
              <w:tc>
                <w:tcPr>
                  <w:tcW w:w="1043" w:type="dxa"/>
                </w:tcPr>
                <w:p w14:paraId="3F5225DF">
                  <w:pPr>
                    <w:adjustRightInd w:val="0"/>
                    <w:spacing w:line="360" w:lineRule="atLeast"/>
                    <w:textAlignment w:val="baseline"/>
                    <w:rPr>
                      <w:rFonts w:ascii="宋体" w:hAnsi="宋体" w:cs="仿宋"/>
                      <w:kern w:val="0"/>
                    </w:rPr>
                  </w:pPr>
                </w:p>
              </w:tc>
            </w:tr>
            <w:tr w14:paraId="517B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3" w:type="dxa"/>
                </w:tcPr>
                <w:p w14:paraId="518DD63C">
                  <w:pPr>
                    <w:adjustRightInd w:val="0"/>
                    <w:spacing w:line="360" w:lineRule="atLeast"/>
                    <w:jc w:val="center"/>
                    <w:textAlignment w:val="baseline"/>
                    <w:rPr>
                      <w:rFonts w:ascii="宋体" w:hAnsi="宋体" w:cs="仿宋"/>
                      <w:kern w:val="0"/>
                    </w:rPr>
                  </w:pPr>
                  <w:r>
                    <w:rPr>
                      <w:rFonts w:hint="eastAsia" w:ascii="宋体" w:hAnsi="宋体" w:cs="仿宋"/>
                      <w:kern w:val="0"/>
                    </w:rPr>
                    <w:t>3</w:t>
                  </w:r>
                </w:p>
              </w:tc>
              <w:tc>
                <w:tcPr>
                  <w:tcW w:w="3664" w:type="dxa"/>
                </w:tcPr>
                <w:p w14:paraId="4960AE96">
                  <w:pPr>
                    <w:adjustRightInd w:val="0"/>
                    <w:spacing w:line="360" w:lineRule="atLeast"/>
                    <w:textAlignment w:val="baseline"/>
                    <w:rPr>
                      <w:rFonts w:ascii="宋体" w:hAnsi="宋体" w:cs="仿宋"/>
                      <w:kern w:val="0"/>
                    </w:rPr>
                  </w:pPr>
                  <w:r>
                    <w:rPr>
                      <w:rFonts w:hint="eastAsia" w:ascii="宋体" w:hAnsi="宋体" w:cs="仿宋"/>
                      <w:kern w:val="0"/>
                    </w:rPr>
                    <w:t>结合服务计划总体完成情况评价得分</w:t>
                  </w:r>
                </w:p>
              </w:tc>
              <w:tc>
                <w:tcPr>
                  <w:tcW w:w="1430" w:type="dxa"/>
                </w:tcPr>
                <w:p w14:paraId="1D1694D3">
                  <w:pPr>
                    <w:adjustRightInd w:val="0"/>
                    <w:spacing w:line="360" w:lineRule="atLeast"/>
                    <w:textAlignment w:val="baseline"/>
                    <w:rPr>
                      <w:rFonts w:ascii="宋体" w:hAnsi="宋体" w:cs="仿宋"/>
                      <w:kern w:val="0"/>
                    </w:rPr>
                  </w:pPr>
                </w:p>
              </w:tc>
              <w:tc>
                <w:tcPr>
                  <w:tcW w:w="1170" w:type="dxa"/>
                </w:tcPr>
                <w:p w14:paraId="06581E73">
                  <w:pPr>
                    <w:adjustRightInd w:val="0"/>
                    <w:spacing w:line="360" w:lineRule="atLeast"/>
                    <w:jc w:val="center"/>
                    <w:textAlignment w:val="baseline"/>
                    <w:rPr>
                      <w:rFonts w:ascii="宋体" w:hAnsi="宋体" w:cs="仿宋"/>
                      <w:kern w:val="0"/>
                    </w:rPr>
                  </w:pPr>
                  <w:r>
                    <w:rPr>
                      <w:rFonts w:hint="eastAsia" w:ascii="宋体" w:hAnsi="宋体" w:cs="仿宋"/>
                      <w:kern w:val="0"/>
                    </w:rPr>
                    <w:t>15%</w:t>
                  </w:r>
                </w:p>
              </w:tc>
              <w:tc>
                <w:tcPr>
                  <w:tcW w:w="1043" w:type="dxa"/>
                </w:tcPr>
                <w:p w14:paraId="7D94D34D">
                  <w:pPr>
                    <w:adjustRightInd w:val="0"/>
                    <w:spacing w:line="360" w:lineRule="atLeast"/>
                    <w:textAlignment w:val="baseline"/>
                    <w:rPr>
                      <w:rFonts w:ascii="宋体" w:hAnsi="宋体" w:cs="仿宋"/>
                      <w:kern w:val="0"/>
                    </w:rPr>
                  </w:pPr>
                </w:p>
              </w:tc>
            </w:tr>
            <w:tr w14:paraId="0575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3" w:type="dxa"/>
                </w:tcPr>
                <w:p w14:paraId="7E7938C0">
                  <w:pPr>
                    <w:adjustRightInd w:val="0"/>
                    <w:spacing w:line="360" w:lineRule="atLeast"/>
                    <w:jc w:val="center"/>
                    <w:textAlignment w:val="baseline"/>
                    <w:rPr>
                      <w:rFonts w:ascii="宋体" w:hAnsi="宋体" w:cs="仿宋"/>
                      <w:kern w:val="0"/>
                    </w:rPr>
                  </w:pPr>
                  <w:r>
                    <w:rPr>
                      <w:rFonts w:hint="eastAsia" w:ascii="宋体" w:hAnsi="宋体" w:cs="仿宋"/>
                      <w:kern w:val="0"/>
                    </w:rPr>
                    <w:t>4</w:t>
                  </w:r>
                </w:p>
              </w:tc>
              <w:tc>
                <w:tcPr>
                  <w:tcW w:w="3664" w:type="dxa"/>
                </w:tcPr>
                <w:p w14:paraId="0B83089A">
                  <w:pPr>
                    <w:adjustRightInd w:val="0"/>
                    <w:spacing w:line="360" w:lineRule="atLeast"/>
                    <w:textAlignment w:val="baseline"/>
                    <w:rPr>
                      <w:rFonts w:ascii="宋体" w:hAnsi="宋体" w:cs="仿宋"/>
                      <w:kern w:val="0"/>
                    </w:rPr>
                  </w:pPr>
                  <w:r>
                    <w:rPr>
                      <w:rFonts w:hint="eastAsia" w:ascii="宋体" w:hAnsi="宋体" w:cs="仿宋"/>
                      <w:kern w:val="0"/>
                    </w:rPr>
                    <w:t>学校领导对服务工作的评价得分</w:t>
                  </w:r>
                </w:p>
              </w:tc>
              <w:tc>
                <w:tcPr>
                  <w:tcW w:w="1430" w:type="dxa"/>
                </w:tcPr>
                <w:p w14:paraId="3CEDB052">
                  <w:pPr>
                    <w:adjustRightInd w:val="0"/>
                    <w:spacing w:line="360" w:lineRule="atLeast"/>
                    <w:textAlignment w:val="baseline"/>
                    <w:rPr>
                      <w:rFonts w:ascii="宋体" w:hAnsi="宋体" w:cs="仿宋"/>
                      <w:kern w:val="0"/>
                    </w:rPr>
                  </w:pPr>
                </w:p>
              </w:tc>
              <w:tc>
                <w:tcPr>
                  <w:tcW w:w="1170" w:type="dxa"/>
                </w:tcPr>
                <w:p w14:paraId="0592125C">
                  <w:pPr>
                    <w:adjustRightInd w:val="0"/>
                    <w:spacing w:line="360" w:lineRule="atLeast"/>
                    <w:jc w:val="center"/>
                    <w:textAlignment w:val="baseline"/>
                    <w:rPr>
                      <w:rFonts w:ascii="宋体" w:hAnsi="宋体" w:cs="仿宋"/>
                      <w:kern w:val="0"/>
                    </w:rPr>
                  </w:pPr>
                  <w:r>
                    <w:rPr>
                      <w:rFonts w:hint="eastAsia" w:ascii="宋体" w:hAnsi="宋体" w:cs="仿宋"/>
                      <w:kern w:val="0"/>
                    </w:rPr>
                    <w:t>15%</w:t>
                  </w:r>
                </w:p>
              </w:tc>
              <w:tc>
                <w:tcPr>
                  <w:tcW w:w="1043" w:type="dxa"/>
                </w:tcPr>
                <w:p w14:paraId="4FD6FB5C">
                  <w:pPr>
                    <w:adjustRightInd w:val="0"/>
                    <w:spacing w:line="360" w:lineRule="atLeast"/>
                    <w:textAlignment w:val="baseline"/>
                    <w:rPr>
                      <w:rFonts w:ascii="宋体" w:hAnsi="宋体" w:cs="仿宋"/>
                      <w:kern w:val="0"/>
                    </w:rPr>
                  </w:pPr>
                </w:p>
              </w:tc>
            </w:tr>
            <w:tr w14:paraId="6346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3" w:type="dxa"/>
                </w:tcPr>
                <w:p w14:paraId="12FF124D">
                  <w:pPr>
                    <w:adjustRightInd w:val="0"/>
                    <w:spacing w:line="360" w:lineRule="atLeast"/>
                    <w:jc w:val="center"/>
                    <w:textAlignment w:val="baseline"/>
                    <w:rPr>
                      <w:rFonts w:ascii="宋体" w:hAnsi="宋体" w:cs="仿宋"/>
                      <w:kern w:val="0"/>
                    </w:rPr>
                  </w:pPr>
                  <w:r>
                    <w:rPr>
                      <w:rFonts w:hint="eastAsia" w:ascii="宋体" w:hAnsi="宋体" w:cs="仿宋"/>
                      <w:kern w:val="0"/>
                    </w:rPr>
                    <w:t>5</w:t>
                  </w:r>
                </w:p>
              </w:tc>
              <w:tc>
                <w:tcPr>
                  <w:tcW w:w="3664" w:type="dxa"/>
                </w:tcPr>
                <w:p w14:paraId="5E6DCEDD">
                  <w:pPr>
                    <w:adjustRightInd w:val="0"/>
                    <w:spacing w:line="360" w:lineRule="atLeast"/>
                    <w:textAlignment w:val="baseline"/>
                    <w:rPr>
                      <w:rFonts w:ascii="宋体" w:hAnsi="宋体" w:cs="仿宋"/>
                      <w:kern w:val="0"/>
                    </w:rPr>
                  </w:pPr>
                  <w:r>
                    <w:rPr>
                      <w:rFonts w:hint="eastAsia" w:ascii="宋体" w:hAnsi="宋体" w:cs="仿宋"/>
                      <w:kern w:val="0"/>
                    </w:rPr>
                    <w:t>师生随机抽样调查评价得分</w:t>
                  </w:r>
                </w:p>
              </w:tc>
              <w:tc>
                <w:tcPr>
                  <w:tcW w:w="1430" w:type="dxa"/>
                </w:tcPr>
                <w:p w14:paraId="35A5EBA6">
                  <w:pPr>
                    <w:adjustRightInd w:val="0"/>
                    <w:spacing w:line="360" w:lineRule="atLeast"/>
                    <w:textAlignment w:val="baseline"/>
                    <w:rPr>
                      <w:rFonts w:ascii="宋体" w:hAnsi="宋体" w:cs="仿宋"/>
                      <w:kern w:val="0"/>
                    </w:rPr>
                  </w:pPr>
                </w:p>
              </w:tc>
              <w:tc>
                <w:tcPr>
                  <w:tcW w:w="1170" w:type="dxa"/>
                </w:tcPr>
                <w:p w14:paraId="394E0058">
                  <w:pPr>
                    <w:adjustRightInd w:val="0"/>
                    <w:spacing w:line="360" w:lineRule="atLeast"/>
                    <w:jc w:val="center"/>
                    <w:textAlignment w:val="baseline"/>
                    <w:rPr>
                      <w:rFonts w:ascii="宋体" w:hAnsi="宋体" w:cs="仿宋"/>
                      <w:kern w:val="0"/>
                    </w:rPr>
                  </w:pPr>
                  <w:r>
                    <w:rPr>
                      <w:rFonts w:hint="eastAsia" w:ascii="宋体" w:hAnsi="宋体" w:cs="仿宋"/>
                      <w:kern w:val="0"/>
                    </w:rPr>
                    <w:t>15%</w:t>
                  </w:r>
                </w:p>
              </w:tc>
              <w:tc>
                <w:tcPr>
                  <w:tcW w:w="1043" w:type="dxa"/>
                </w:tcPr>
                <w:p w14:paraId="006FFCED">
                  <w:pPr>
                    <w:adjustRightInd w:val="0"/>
                    <w:spacing w:line="360" w:lineRule="atLeast"/>
                    <w:textAlignment w:val="baseline"/>
                    <w:rPr>
                      <w:rFonts w:ascii="宋体" w:hAnsi="宋体" w:cs="仿宋"/>
                      <w:kern w:val="0"/>
                    </w:rPr>
                  </w:pPr>
                </w:p>
              </w:tc>
            </w:tr>
            <w:tr w14:paraId="095B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53" w:type="dxa"/>
                </w:tcPr>
                <w:p w14:paraId="2A2BEE36">
                  <w:pPr>
                    <w:adjustRightInd w:val="0"/>
                    <w:spacing w:line="360" w:lineRule="atLeast"/>
                    <w:jc w:val="center"/>
                    <w:textAlignment w:val="baseline"/>
                    <w:rPr>
                      <w:rFonts w:ascii="宋体" w:hAnsi="宋体" w:cs="仿宋"/>
                      <w:kern w:val="0"/>
                    </w:rPr>
                  </w:pPr>
                  <w:r>
                    <w:rPr>
                      <w:rFonts w:hint="eastAsia" w:ascii="宋体" w:hAnsi="宋体" w:cs="仿宋"/>
                      <w:kern w:val="0"/>
                    </w:rPr>
                    <w:t>6</w:t>
                  </w:r>
                </w:p>
              </w:tc>
              <w:tc>
                <w:tcPr>
                  <w:tcW w:w="6264" w:type="dxa"/>
                  <w:gridSpan w:val="3"/>
                </w:tcPr>
                <w:p w14:paraId="725E4D3B">
                  <w:pPr>
                    <w:adjustRightInd w:val="0"/>
                    <w:spacing w:line="360" w:lineRule="atLeast"/>
                    <w:jc w:val="center"/>
                    <w:textAlignment w:val="baseline"/>
                    <w:rPr>
                      <w:rFonts w:ascii="宋体" w:hAnsi="宋体" w:cs="仿宋"/>
                      <w:kern w:val="0"/>
                    </w:rPr>
                  </w:pPr>
                  <w:r>
                    <w:rPr>
                      <w:rFonts w:hint="eastAsia" w:ascii="宋体" w:hAnsi="宋体" w:cs="仿宋"/>
                      <w:kern w:val="0"/>
                    </w:rPr>
                    <w:t>最终加权计算得分（10分制）：</w:t>
                  </w:r>
                </w:p>
              </w:tc>
              <w:tc>
                <w:tcPr>
                  <w:tcW w:w="1043" w:type="dxa"/>
                </w:tcPr>
                <w:p w14:paraId="26C5B271">
                  <w:pPr>
                    <w:adjustRightInd w:val="0"/>
                    <w:spacing w:line="360" w:lineRule="atLeast"/>
                    <w:textAlignment w:val="baseline"/>
                    <w:rPr>
                      <w:rFonts w:ascii="宋体" w:hAnsi="宋体" w:cs="仿宋"/>
                      <w:kern w:val="0"/>
                    </w:rPr>
                  </w:pPr>
                </w:p>
              </w:tc>
            </w:tr>
          </w:tbl>
          <w:p w14:paraId="1E0281CC">
            <w:pPr>
              <w:pStyle w:val="10"/>
              <w:numPr>
                <w:ilvl w:val="0"/>
                <w:numId w:val="1"/>
              </w:numPr>
              <w:spacing w:line="520" w:lineRule="exact"/>
              <w:ind w:firstLineChars="0"/>
              <w:rPr>
                <w:rFonts w:ascii="宋体" w:hAnsi="宋体" w:cs="宋体"/>
                <w:b/>
                <w:bCs/>
                <w:szCs w:val="21"/>
              </w:rPr>
            </w:pPr>
            <w:r>
              <w:rPr>
                <w:rFonts w:hint="eastAsia" w:ascii="宋体" w:hAnsi="宋体" w:cs="宋体"/>
                <w:b/>
                <w:bCs/>
                <w:szCs w:val="21"/>
              </w:rPr>
              <w:t>服务地点</w:t>
            </w:r>
          </w:p>
          <w:p w14:paraId="613A20A3">
            <w:pPr>
              <w:pStyle w:val="3"/>
              <w:spacing w:line="520" w:lineRule="exact"/>
              <w:ind w:left="0" w:leftChars="0" w:right="1470" w:firstLine="420" w:firstLineChars="200"/>
              <w:rPr>
                <w:rFonts w:hint="eastAsia" w:ascii="宋体" w:hAnsi="宋体" w:eastAsia="宋体" w:cs="宋体"/>
                <w:bCs/>
                <w:szCs w:val="21"/>
              </w:rPr>
            </w:pPr>
            <w:r>
              <w:rPr>
                <w:rFonts w:hint="eastAsia" w:ascii="宋体" w:hAnsi="宋体" w:eastAsia="宋体" w:cs="宋体"/>
                <w:bCs/>
                <w:szCs w:val="21"/>
              </w:rPr>
              <w:t>上海外国语大学松江校区。</w:t>
            </w:r>
          </w:p>
          <w:p w14:paraId="4CAC8829">
            <w:pPr>
              <w:pStyle w:val="10"/>
              <w:numPr>
                <w:ilvl w:val="0"/>
                <w:numId w:val="1"/>
              </w:numPr>
              <w:spacing w:line="520" w:lineRule="exact"/>
              <w:ind w:firstLineChars="0"/>
              <w:rPr>
                <w:rFonts w:hint="default" w:ascii="宋体" w:hAnsi="宋体" w:cs="宋体"/>
                <w:b/>
                <w:bCs/>
                <w:szCs w:val="21"/>
                <w:lang w:val="en-US" w:eastAsia="zh-CN"/>
              </w:rPr>
            </w:pPr>
            <w:r>
              <w:rPr>
                <w:rFonts w:hint="eastAsia" w:ascii="宋体" w:hAnsi="宋体" w:cs="宋体"/>
                <w:b/>
                <w:bCs/>
                <w:szCs w:val="21"/>
                <w:lang w:val="en-US" w:eastAsia="zh-CN"/>
              </w:rPr>
              <w:t>比选标准</w:t>
            </w:r>
          </w:p>
          <w:tbl>
            <w:tblPr>
              <w:tblStyle w:val="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971"/>
              <w:gridCol w:w="729"/>
              <w:gridCol w:w="5835"/>
            </w:tblGrid>
            <w:tr w14:paraId="239C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602" w:type="dxa"/>
                  <w:shd w:val="clear" w:color="auto" w:fill="auto"/>
                  <w:noWrap w:val="0"/>
                  <w:vAlign w:val="center"/>
                </w:tcPr>
                <w:p w14:paraId="057E07AD">
                  <w:pPr>
                    <w:jc w:val="center"/>
                    <w:rPr>
                      <w:rFonts w:ascii="宋体" w:hAnsi="宋体"/>
                      <w:szCs w:val="21"/>
                    </w:rPr>
                  </w:pPr>
                  <w:r>
                    <w:rPr>
                      <w:rFonts w:ascii="宋体" w:hAnsi="宋体"/>
                      <w:szCs w:val="21"/>
                    </w:rPr>
                    <w:t>1</w:t>
                  </w:r>
                </w:p>
              </w:tc>
              <w:tc>
                <w:tcPr>
                  <w:tcW w:w="971" w:type="dxa"/>
                  <w:shd w:val="clear" w:color="auto" w:fill="auto"/>
                  <w:noWrap w:val="0"/>
                  <w:vAlign w:val="center"/>
                </w:tcPr>
                <w:p w14:paraId="45C26E26">
                  <w:pPr>
                    <w:autoSpaceDE w:val="0"/>
                    <w:autoSpaceDN w:val="0"/>
                    <w:adjustRightInd w:val="0"/>
                    <w:jc w:val="center"/>
                    <w:rPr>
                      <w:rFonts w:ascii=".." w:hAnsi="宋体" w:eastAsia=".."/>
                      <w:color w:val="000000"/>
                      <w:kern w:val="0"/>
                      <w:szCs w:val="21"/>
                    </w:rPr>
                  </w:pPr>
                  <w:r>
                    <w:rPr>
                      <w:rFonts w:hint="eastAsia" w:ascii=".." w:hAnsi="宋体" w:eastAsia=".."/>
                      <w:color w:val="000000"/>
                      <w:kern w:val="0"/>
                      <w:szCs w:val="21"/>
                    </w:rPr>
                    <w:t>价格评分</w:t>
                  </w:r>
                </w:p>
              </w:tc>
              <w:tc>
                <w:tcPr>
                  <w:tcW w:w="729" w:type="dxa"/>
                  <w:shd w:val="clear" w:color="auto" w:fill="auto"/>
                  <w:noWrap w:val="0"/>
                  <w:vAlign w:val="center"/>
                </w:tcPr>
                <w:p w14:paraId="564FB0AB">
                  <w:pPr>
                    <w:jc w:val="center"/>
                    <w:rPr>
                      <w:rFonts w:ascii="宋体" w:hAnsi="宋体"/>
                      <w:b/>
                      <w:bCs/>
                      <w:szCs w:val="21"/>
                    </w:rPr>
                  </w:pPr>
                  <w:r>
                    <w:rPr>
                      <w:rFonts w:ascii="宋体" w:hAnsi="宋体"/>
                      <w:szCs w:val="21"/>
                    </w:rPr>
                    <w:t>3</w:t>
                  </w:r>
                  <w:r>
                    <w:rPr>
                      <w:rFonts w:hint="eastAsia" w:ascii="宋体" w:hAnsi="宋体"/>
                      <w:szCs w:val="21"/>
                    </w:rPr>
                    <w:t>0</w:t>
                  </w:r>
                </w:p>
              </w:tc>
              <w:tc>
                <w:tcPr>
                  <w:tcW w:w="5835" w:type="dxa"/>
                  <w:shd w:val="clear" w:color="auto" w:fill="auto"/>
                  <w:noWrap w:val="0"/>
                  <w:vAlign w:val="center"/>
                </w:tcPr>
                <w:p w14:paraId="74100637">
                  <w:pPr>
                    <w:autoSpaceDE w:val="0"/>
                    <w:autoSpaceDN w:val="0"/>
                    <w:adjustRightInd w:val="0"/>
                    <w:rPr>
                      <w:rFonts w:ascii=".." w:hAnsi="宋体" w:eastAsia=".."/>
                      <w:color w:val="000000"/>
                      <w:kern w:val="0"/>
                      <w:szCs w:val="21"/>
                    </w:rPr>
                  </w:pPr>
                  <w:r>
                    <w:rPr>
                      <w:rFonts w:hint="eastAsia" w:ascii=".." w:hAnsi="宋体" w:eastAsia=".."/>
                      <w:color w:val="000000"/>
                      <w:kern w:val="0"/>
                      <w:szCs w:val="21"/>
                    </w:rPr>
                    <w:t>采用低价优先法计算，即满足招标文件要求且最低的投标报价（在纠正了可能有的算术计算错误和考虑了价格评审优惠之后）为评标基准价，其商务分为满分</w:t>
                  </w:r>
                  <w:r>
                    <w:rPr>
                      <w:rFonts w:ascii=".." w:hAnsi="宋体" w:eastAsia=".."/>
                      <w:color w:val="000000"/>
                      <w:kern w:val="0"/>
                      <w:szCs w:val="21"/>
                    </w:rPr>
                    <w:t>3</w:t>
                  </w:r>
                  <w:r>
                    <w:rPr>
                      <w:rFonts w:hint="eastAsia" w:ascii=".." w:hAnsi="宋体" w:eastAsia=".."/>
                      <w:color w:val="000000"/>
                      <w:kern w:val="0"/>
                      <w:szCs w:val="21"/>
                    </w:rPr>
                    <w:t>0分。</w:t>
                  </w:r>
                </w:p>
                <w:p w14:paraId="5BC0CF51">
                  <w:pPr>
                    <w:autoSpaceDE w:val="0"/>
                    <w:autoSpaceDN w:val="0"/>
                    <w:adjustRightInd w:val="0"/>
                    <w:rPr>
                      <w:rFonts w:ascii=".." w:hAnsi="宋体" w:eastAsia=".."/>
                      <w:color w:val="000000"/>
                      <w:kern w:val="0"/>
                      <w:szCs w:val="21"/>
                    </w:rPr>
                  </w:pPr>
                  <w:r>
                    <w:rPr>
                      <w:rFonts w:hint="eastAsia" w:ascii=".." w:hAnsi="宋体" w:eastAsia=".."/>
                      <w:color w:val="000000"/>
                      <w:kern w:val="0"/>
                      <w:szCs w:val="21"/>
                    </w:rPr>
                    <w:t>其他投标人的商务分统一按照下列公式计算:报价得分=[评标基准价/经核准的评标价]×</w:t>
                  </w:r>
                  <w:r>
                    <w:rPr>
                      <w:rFonts w:ascii=".." w:hAnsi="宋体" w:eastAsia=".."/>
                      <w:color w:val="000000"/>
                      <w:kern w:val="0"/>
                      <w:szCs w:val="21"/>
                    </w:rPr>
                    <w:t>3</w:t>
                  </w:r>
                  <w:r>
                    <w:rPr>
                      <w:rFonts w:hint="eastAsia" w:ascii=".." w:hAnsi="宋体" w:eastAsia=".."/>
                      <w:color w:val="000000"/>
                      <w:kern w:val="0"/>
                      <w:szCs w:val="21"/>
                    </w:rPr>
                    <w:t>0。（计算结果四舍五入，保留小数点后2位）</w:t>
                  </w:r>
                </w:p>
              </w:tc>
            </w:tr>
            <w:tr w14:paraId="4607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2" w:type="dxa"/>
                  <w:shd w:val="clear" w:color="auto" w:fill="auto"/>
                  <w:noWrap w:val="0"/>
                  <w:vAlign w:val="center"/>
                </w:tcPr>
                <w:p w14:paraId="59F0F5DE">
                  <w:pPr>
                    <w:jc w:val="center"/>
                    <w:rPr>
                      <w:rFonts w:ascii="宋体" w:hAnsi="宋体"/>
                      <w:b/>
                      <w:bCs/>
                      <w:szCs w:val="21"/>
                    </w:rPr>
                  </w:pPr>
                  <w:r>
                    <w:rPr>
                      <w:rFonts w:hint="eastAsia" w:ascii="宋体" w:hAnsi="宋体"/>
                      <w:b/>
                      <w:bCs/>
                      <w:szCs w:val="21"/>
                    </w:rPr>
                    <w:t>序号</w:t>
                  </w:r>
                </w:p>
              </w:tc>
              <w:tc>
                <w:tcPr>
                  <w:tcW w:w="971" w:type="dxa"/>
                  <w:shd w:val="clear" w:color="auto" w:fill="auto"/>
                  <w:noWrap w:val="0"/>
                  <w:vAlign w:val="center"/>
                </w:tcPr>
                <w:p w14:paraId="2283F31E">
                  <w:pPr>
                    <w:jc w:val="center"/>
                    <w:rPr>
                      <w:rFonts w:ascii="宋体" w:hAnsi="宋体"/>
                      <w:b/>
                      <w:bCs/>
                      <w:szCs w:val="21"/>
                    </w:rPr>
                  </w:pPr>
                  <w:r>
                    <w:rPr>
                      <w:rFonts w:hint="eastAsia" w:ascii="宋体" w:hAnsi="宋体"/>
                      <w:b/>
                      <w:bCs/>
                      <w:szCs w:val="21"/>
                    </w:rPr>
                    <w:t>评标要素</w:t>
                  </w:r>
                </w:p>
              </w:tc>
              <w:tc>
                <w:tcPr>
                  <w:tcW w:w="729" w:type="dxa"/>
                  <w:shd w:val="clear" w:color="auto" w:fill="auto"/>
                  <w:noWrap w:val="0"/>
                  <w:vAlign w:val="center"/>
                </w:tcPr>
                <w:p w14:paraId="06C01DA5">
                  <w:pPr>
                    <w:jc w:val="center"/>
                    <w:rPr>
                      <w:rFonts w:ascii="宋体" w:hAnsi="宋体"/>
                      <w:b/>
                      <w:bCs/>
                      <w:szCs w:val="21"/>
                    </w:rPr>
                  </w:pPr>
                  <w:r>
                    <w:rPr>
                      <w:rFonts w:hint="eastAsia" w:ascii="宋体" w:hAnsi="宋体"/>
                      <w:b/>
                      <w:bCs/>
                      <w:szCs w:val="21"/>
                    </w:rPr>
                    <w:t>满分</w:t>
                  </w:r>
                </w:p>
                <w:p w14:paraId="6050E704">
                  <w:pPr>
                    <w:jc w:val="center"/>
                    <w:rPr>
                      <w:rFonts w:ascii="宋体" w:hAnsi="宋体"/>
                      <w:b/>
                      <w:bCs/>
                      <w:szCs w:val="21"/>
                    </w:rPr>
                  </w:pPr>
                  <w:r>
                    <w:rPr>
                      <w:rFonts w:hint="eastAsia" w:ascii="宋体" w:hAnsi="宋体"/>
                      <w:b/>
                      <w:bCs/>
                      <w:szCs w:val="21"/>
                    </w:rPr>
                    <w:t>分值</w:t>
                  </w:r>
                </w:p>
              </w:tc>
              <w:tc>
                <w:tcPr>
                  <w:tcW w:w="5835" w:type="dxa"/>
                  <w:shd w:val="clear" w:color="auto" w:fill="auto"/>
                  <w:noWrap w:val="0"/>
                  <w:vAlign w:val="center"/>
                </w:tcPr>
                <w:p w14:paraId="3162CF4A">
                  <w:pPr>
                    <w:jc w:val="center"/>
                    <w:rPr>
                      <w:rFonts w:ascii="宋体" w:hAnsi="宋体"/>
                      <w:b/>
                      <w:bCs/>
                      <w:szCs w:val="21"/>
                    </w:rPr>
                  </w:pPr>
                  <w:r>
                    <w:rPr>
                      <w:rFonts w:hint="eastAsia" w:ascii="宋体" w:hAnsi="宋体"/>
                      <w:b/>
                      <w:bCs/>
                      <w:szCs w:val="21"/>
                    </w:rPr>
                    <w:t>主要评标内容</w:t>
                  </w:r>
                </w:p>
              </w:tc>
            </w:tr>
            <w:tr w14:paraId="4122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602" w:type="dxa"/>
                  <w:vMerge w:val="restart"/>
                  <w:shd w:val="clear" w:color="auto" w:fill="auto"/>
                  <w:noWrap w:val="0"/>
                  <w:vAlign w:val="center"/>
                </w:tcPr>
                <w:p w14:paraId="08BBC970">
                  <w:pPr>
                    <w:jc w:val="center"/>
                    <w:rPr>
                      <w:rFonts w:ascii="宋体" w:hAnsi="宋体"/>
                      <w:szCs w:val="21"/>
                    </w:rPr>
                  </w:pPr>
                  <w:r>
                    <w:rPr>
                      <w:rFonts w:hint="eastAsia" w:ascii="宋体" w:hAnsi="宋体"/>
                      <w:szCs w:val="21"/>
                    </w:rPr>
                    <w:t>1</w:t>
                  </w:r>
                </w:p>
              </w:tc>
              <w:tc>
                <w:tcPr>
                  <w:tcW w:w="971" w:type="dxa"/>
                  <w:vMerge w:val="restart"/>
                  <w:shd w:val="clear" w:color="auto" w:fill="auto"/>
                  <w:noWrap w:val="0"/>
                  <w:vAlign w:val="center"/>
                </w:tcPr>
                <w:p w14:paraId="4BFA5449">
                  <w:pPr>
                    <w:jc w:val="center"/>
                    <w:rPr>
                      <w:rFonts w:ascii="宋体" w:hAnsi="宋体"/>
                      <w:szCs w:val="21"/>
                    </w:rPr>
                  </w:pPr>
                  <w:r>
                    <w:rPr>
                      <w:rFonts w:hint="eastAsia" w:ascii="宋体" w:hAnsi="宋体"/>
                      <w:szCs w:val="21"/>
                    </w:rPr>
                    <w:t>技术方案</w:t>
                  </w:r>
                </w:p>
              </w:tc>
              <w:tc>
                <w:tcPr>
                  <w:tcW w:w="729" w:type="dxa"/>
                  <w:vMerge w:val="restart"/>
                  <w:shd w:val="clear" w:color="auto" w:fill="auto"/>
                  <w:noWrap w:val="0"/>
                  <w:vAlign w:val="center"/>
                </w:tcPr>
                <w:p w14:paraId="4F8C83C3">
                  <w:pPr>
                    <w:jc w:val="center"/>
                    <w:rPr>
                      <w:rFonts w:ascii="宋体" w:hAnsi="宋体"/>
                      <w:szCs w:val="21"/>
                    </w:rPr>
                  </w:pPr>
                  <w:r>
                    <w:rPr>
                      <w:rFonts w:ascii="宋体" w:hAnsi="宋体"/>
                      <w:szCs w:val="21"/>
                    </w:rPr>
                    <w:t>3</w:t>
                  </w:r>
                  <w:r>
                    <w:rPr>
                      <w:rFonts w:hint="eastAsia" w:ascii="宋体" w:hAnsi="宋体"/>
                      <w:szCs w:val="21"/>
                    </w:rPr>
                    <w:t>0</w:t>
                  </w:r>
                </w:p>
              </w:tc>
              <w:tc>
                <w:tcPr>
                  <w:tcW w:w="5835" w:type="dxa"/>
                  <w:shd w:val="clear" w:color="auto" w:fill="auto"/>
                  <w:noWrap w:val="0"/>
                  <w:vAlign w:val="center"/>
                </w:tcPr>
                <w:p w14:paraId="763B99F0">
                  <w:pPr>
                    <w:rPr>
                      <w:rFonts w:hint="eastAsia" w:ascii="宋体" w:hAnsi="宋体"/>
                      <w:szCs w:val="21"/>
                    </w:rPr>
                  </w:pPr>
                  <w:r>
                    <w:rPr>
                      <w:rFonts w:hint="eastAsia" w:ascii="宋体" w:hAnsi="宋体"/>
                      <w:szCs w:val="21"/>
                    </w:rPr>
                    <w:t>1.招标文件中加注“▲”的指标是关键技术指标（共</w:t>
                  </w:r>
                  <w:r>
                    <w:rPr>
                      <w:rFonts w:ascii="宋体" w:hAnsi="宋体"/>
                      <w:szCs w:val="21"/>
                    </w:rPr>
                    <w:t>7</w:t>
                  </w:r>
                  <w:r>
                    <w:rPr>
                      <w:rFonts w:hint="eastAsia" w:ascii="宋体" w:hAnsi="宋体"/>
                      <w:szCs w:val="21"/>
                    </w:rPr>
                    <w:t>项），全部满足得满分1</w:t>
                  </w:r>
                  <w:r>
                    <w:rPr>
                      <w:rFonts w:ascii="宋体" w:hAnsi="宋体"/>
                      <w:szCs w:val="21"/>
                    </w:rPr>
                    <w:t>4</w:t>
                  </w:r>
                  <w:r>
                    <w:rPr>
                      <w:rFonts w:hint="eastAsia" w:ascii="宋体" w:hAnsi="宋体"/>
                      <w:szCs w:val="21"/>
                    </w:rPr>
                    <w:t>分，有一项不满足或负偏离扣</w:t>
                  </w:r>
                  <w:r>
                    <w:rPr>
                      <w:rFonts w:ascii="宋体" w:hAnsi="宋体"/>
                      <w:szCs w:val="21"/>
                    </w:rPr>
                    <w:t>2</w:t>
                  </w:r>
                  <w:r>
                    <w:rPr>
                      <w:rFonts w:hint="eastAsia" w:ascii="宋体" w:hAnsi="宋体"/>
                      <w:szCs w:val="21"/>
                    </w:rPr>
                    <w:t>分，扣完为止。（需提供相关证明证书等方为有效）。</w:t>
                  </w:r>
                </w:p>
              </w:tc>
            </w:tr>
            <w:tr w14:paraId="35FC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602" w:type="dxa"/>
                  <w:vMerge w:val="continue"/>
                  <w:shd w:val="clear" w:color="auto" w:fill="auto"/>
                  <w:noWrap w:val="0"/>
                  <w:vAlign w:val="center"/>
                </w:tcPr>
                <w:p w14:paraId="570ADAA8">
                  <w:pPr>
                    <w:jc w:val="center"/>
                    <w:rPr>
                      <w:rFonts w:hint="eastAsia" w:ascii="宋体" w:hAnsi="宋体"/>
                      <w:szCs w:val="21"/>
                    </w:rPr>
                  </w:pPr>
                </w:p>
              </w:tc>
              <w:tc>
                <w:tcPr>
                  <w:tcW w:w="971" w:type="dxa"/>
                  <w:vMerge w:val="continue"/>
                  <w:shd w:val="clear" w:color="auto" w:fill="auto"/>
                  <w:noWrap w:val="0"/>
                  <w:vAlign w:val="center"/>
                </w:tcPr>
                <w:p w14:paraId="6E255F2C">
                  <w:pPr>
                    <w:jc w:val="center"/>
                    <w:rPr>
                      <w:rFonts w:hint="eastAsia" w:ascii="宋体" w:hAnsi="宋体"/>
                      <w:szCs w:val="21"/>
                    </w:rPr>
                  </w:pPr>
                </w:p>
              </w:tc>
              <w:tc>
                <w:tcPr>
                  <w:tcW w:w="729" w:type="dxa"/>
                  <w:vMerge w:val="continue"/>
                  <w:shd w:val="clear" w:color="auto" w:fill="auto"/>
                  <w:noWrap w:val="0"/>
                  <w:vAlign w:val="center"/>
                </w:tcPr>
                <w:p w14:paraId="58680A7D">
                  <w:pPr>
                    <w:jc w:val="center"/>
                    <w:rPr>
                      <w:rFonts w:ascii="宋体" w:hAnsi="宋体"/>
                      <w:szCs w:val="21"/>
                    </w:rPr>
                  </w:pPr>
                </w:p>
              </w:tc>
              <w:tc>
                <w:tcPr>
                  <w:tcW w:w="5835" w:type="dxa"/>
                  <w:shd w:val="clear" w:color="auto" w:fill="auto"/>
                  <w:noWrap w:val="0"/>
                  <w:vAlign w:val="center"/>
                </w:tcPr>
                <w:p w14:paraId="6F930278">
                  <w:pPr>
                    <w:rPr>
                      <w:rFonts w:hint="eastAsia" w:ascii="宋体" w:hAnsi="宋体"/>
                      <w:szCs w:val="21"/>
                    </w:rPr>
                  </w:pPr>
                  <w:r>
                    <w:rPr>
                      <w:rFonts w:hint="eastAsia" w:ascii="宋体" w:hAnsi="宋体"/>
                      <w:szCs w:val="21"/>
                    </w:rPr>
                    <w:t>2.投标人服务方案中对招标需求中标注有“视频演示”的服务关键项（共两条）的响应情况进行评判，每项演示内容完整、视频流畅清晰的得3分，每项演示内容有缺漏或者卡顿不清晰等瑕疵的得1</w:t>
                  </w:r>
                  <w:r>
                    <w:rPr>
                      <w:rFonts w:ascii="宋体" w:hAnsi="宋体"/>
                      <w:szCs w:val="21"/>
                    </w:rPr>
                    <w:t>.5</w:t>
                  </w:r>
                  <w:r>
                    <w:rPr>
                      <w:rFonts w:hint="eastAsia" w:ascii="宋体" w:hAnsi="宋体"/>
                      <w:szCs w:val="21"/>
                    </w:rPr>
                    <w:t>分；满分6分。未提供演示或演示内容与采购需求无关的不得分。</w:t>
                  </w:r>
                </w:p>
              </w:tc>
            </w:tr>
            <w:tr w14:paraId="6492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602" w:type="dxa"/>
                  <w:vMerge w:val="continue"/>
                  <w:shd w:val="clear" w:color="auto" w:fill="auto"/>
                  <w:noWrap w:val="0"/>
                  <w:vAlign w:val="center"/>
                </w:tcPr>
                <w:p w14:paraId="1E4CAE9D">
                  <w:pPr>
                    <w:jc w:val="center"/>
                    <w:rPr>
                      <w:rFonts w:hint="eastAsia" w:ascii="宋体" w:hAnsi="宋体"/>
                      <w:szCs w:val="21"/>
                    </w:rPr>
                  </w:pPr>
                </w:p>
              </w:tc>
              <w:tc>
                <w:tcPr>
                  <w:tcW w:w="971" w:type="dxa"/>
                  <w:vMerge w:val="continue"/>
                  <w:shd w:val="clear" w:color="auto" w:fill="auto"/>
                  <w:noWrap w:val="0"/>
                  <w:vAlign w:val="center"/>
                </w:tcPr>
                <w:p w14:paraId="4E1D99B6">
                  <w:pPr>
                    <w:jc w:val="center"/>
                    <w:rPr>
                      <w:rFonts w:hint="eastAsia" w:ascii="宋体" w:hAnsi="宋体"/>
                      <w:szCs w:val="21"/>
                    </w:rPr>
                  </w:pPr>
                </w:p>
              </w:tc>
              <w:tc>
                <w:tcPr>
                  <w:tcW w:w="729" w:type="dxa"/>
                  <w:vMerge w:val="continue"/>
                  <w:shd w:val="clear" w:color="auto" w:fill="auto"/>
                  <w:noWrap w:val="0"/>
                  <w:vAlign w:val="center"/>
                </w:tcPr>
                <w:p w14:paraId="36ACC94E">
                  <w:pPr>
                    <w:jc w:val="center"/>
                    <w:rPr>
                      <w:rFonts w:ascii="宋体" w:hAnsi="宋体"/>
                      <w:szCs w:val="21"/>
                    </w:rPr>
                  </w:pPr>
                </w:p>
              </w:tc>
              <w:tc>
                <w:tcPr>
                  <w:tcW w:w="5835" w:type="dxa"/>
                  <w:shd w:val="clear" w:color="auto" w:fill="auto"/>
                  <w:noWrap w:val="0"/>
                  <w:vAlign w:val="center"/>
                </w:tcPr>
                <w:p w14:paraId="21795E64">
                  <w:pPr>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其余指标为一般指标项，全部满足（正偏离或无偏离）得满分1</w:t>
                  </w:r>
                  <w:r>
                    <w:rPr>
                      <w:rFonts w:ascii="宋体" w:hAnsi="宋体"/>
                      <w:szCs w:val="21"/>
                    </w:rPr>
                    <w:t>0</w:t>
                  </w:r>
                  <w:r>
                    <w:rPr>
                      <w:rFonts w:hint="eastAsia" w:ascii="宋体" w:hAnsi="宋体"/>
                      <w:szCs w:val="21"/>
                    </w:rPr>
                    <w:t>分；若存在劣于招标文件要求的情况，存在1-2项的得</w:t>
                  </w:r>
                  <w:r>
                    <w:rPr>
                      <w:rFonts w:ascii="宋体" w:hAnsi="宋体"/>
                      <w:szCs w:val="21"/>
                    </w:rPr>
                    <w:t>8</w:t>
                  </w:r>
                  <w:r>
                    <w:rPr>
                      <w:rFonts w:hint="eastAsia" w:ascii="宋体" w:hAnsi="宋体"/>
                      <w:szCs w:val="21"/>
                    </w:rPr>
                    <w:t>分，存在3-4项的得</w:t>
                  </w:r>
                  <w:r>
                    <w:rPr>
                      <w:rFonts w:ascii="宋体" w:hAnsi="宋体"/>
                      <w:szCs w:val="21"/>
                    </w:rPr>
                    <w:t>5</w:t>
                  </w:r>
                  <w:r>
                    <w:rPr>
                      <w:rFonts w:hint="eastAsia" w:ascii="宋体" w:hAnsi="宋体"/>
                      <w:szCs w:val="21"/>
                    </w:rPr>
                    <w:t>分，存在5-7项的得</w:t>
                  </w:r>
                  <w:r>
                    <w:rPr>
                      <w:rFonts w:ascii="宋体" w:hAnsi="宋体"/>
                      <w:szCs w:val="21"/>
                    </w:rPr>
                    <w:t>2</w:t>
                  </w:r>
                  <w:r>
                    <w:rPr>
                      <w:rFonts w:hint="eastAsia" w:ascii="宋体" w:hAnsi="宋体"/>
                      <w:szCs w:val="21"/>
                    </w:rPr>
                    <w:t>分，存在8项以上的得0分。</w:t>
                  </w:r>
                </w:p>
                <w:p w14:paraId="76A78823">
                  <w:pPr>
                    <w:rPr>
                      <w:rFonts w:hint="eastAsia" w:ascii="宋体" w:hAnsi="宋体"/>
                      <w:szCs w:val="21"/>
                    </w:rPr>
                  </w:pPr>
                  <w:r>
                    <w:rPr>
                      <w:rFonts w:hint="eastAsia" w:ascii="宋体" w:hAnsi="宋体"/>
                      <w:szCs w:val="21"/>
                    </w:rPr>
                    <w:t>注：投标文件中服务需求中的要求完全复制招标文件要求的属于负偏离，文字性描述复制的不属于负偏离。投标人应按照采购需求的规定提供证明材料（采购需求未规定的应当提供投标产品制造商公开发布的印刷资料或官网资料或检测机构出具的检测报告或采购需求要求的证明材料），有缺漏或未提供的，则对应项视为负偏离。</w:t>
                  </w:r>
                </w:p>
              </w:tc>
            </w:tr>
            <w:tr w14:paraId="7F92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2" w:type="dxa"/>
                  <w:shd w:val="clear" w:color="auto" w:fill="auto"/>
                  <w:noWrap w:val="0"/>
                  <w:vAlign w:val="center"/>
                </w:tcPr>
                <w:p w14:paraId="44BED9B8">
                  <w:pPr>
                    <w:jc w:val="center"/>
                    <w:rPr>
                      <w:rFonts w:ascii="宋体" w:hAnsi="宋体"/>
                      <w:szCs w:val="21"/>
                    </w:rPr>
                  </w:pPr>
                  <w:r>
                    <w:rPr>
                      <w:rFonts w:hint="eastAsia" w:ascii="宋体" w:hAnsi="宋体"/>
                      <w:szCs w:val="21"/>
                    </w:rPr>
                    <w:t>2</w:t>
                  </w:r>
                </w:p>
              </w:tc>
              <w:tc>
                <w:tcPr>
                  <w:tcW w:w="971" w:type="dxa"/>
                  <w:shd w:val="clear" w:color="auto" w:fill="auto"/>
                  <w:noWrap w:val="0"/>
                  <w:vAlign w:val="center"/>
                </w:tcPr>
                <w:p w14:paraId="4D599903">
                  <w:pPr>
                    <w:jc w:val="center"/>
                    <w:rPr>
                      <w:rFonts w:ascii="宋体" w:hAnsi="宋体"/>
                      <w:szCs w:val="21"/>
                    </w:rPr>
                  </w:pPr>
                  <w:r>
                    <w:rPr>
                      <w:rFonts w:hint="eastAsia" w:ascii="宋体" w:hAnsi="宋体"/>
                      <w:szCs w:val="21"/>
                    </w:rPr>
                    <w:t>服务方案</w:t>
                  </w:r>
                </w:p>
              </w:tc>
              <w:tc>
                <w:tcPr>
                  <w:tcW w:w="729" w:type="dxa"/>
                  <w:shd w:val="clear" w:color="auto" w:fill="auto"/>
                  <w:noWrap w:val="0"/>
                  <w:vAlign w:val="center"/>
                </w:tcPr>
                <w:p w14:paraId="133C2D42">
                  <w:pPr>
                    <w:jc w:val="center"/>
                    <w:rPr>
                      <w:rFonts w:ascii="宋体" w:hAnsi="宋体"/>
                      <w:szCs w:val="21"/>
                    </w:rPr>
                  </w:pPr>
                  <w:r>
                    <w:rPr>
                      <w:rFonts w:ascii="宋体" w:hAnsi="宋体"/>
                      <w:szCs w:val="21"/>
                    </w:rPr>
                    <w:t>15</w:t>
                  </w:r>
                </w:p>
              </w:tc>
              <w:tc>
                <w:tcPr>
                  <w:tcW w:w="5835" w:type="dxa"/>
                  <w:shd w:val="clear" w:color="auto" w:fill="auto"/>
                  <w:noWrap w:val="0"/>
                  <w:vAlign w:val="center"/>
                </w:tcPr>
                <w:p w14:paraId="2123790B">
                  <w:pPr>
                    <w:rPr>
                      <w:rFonts w:ascii="宋体" w:hAnsi="宋体"/>
                      <w:szCs w:val="21"/>
                    </w:rPr>
                  </w:pPr>
                  <w:r>
                    <w:rPr>
                      <w:rFonts w:hint="eastAsia" w:ascii="宋体" w:hAnsi="宋体"/>
                      <w:szCs w:val="21"/>
                    </w:rPr>
                    <w:t>根据投标人提供的服务方案结合本项目需求，针对技术运维服务方案从（1）服务内容和计划（2）针对外语类高校信息化运维服务重难点分析（3）服务响应效率保障措施（4）突发情况的预警和应急措施（5）服务质量和安全保证措施等方面进行说明。以上1-5项，提供完整方案说明且完全满足本项目需求的得15分；每有一项内容缺失或与本项目无关的扣3分；每有一项内容无法满足本项目需求或有缺陷的扣1.5分，直至扣完15分为止。</w:t>
                  </w:r>
                </w:p>
              </w:tc>
            </w:tr>
            <w:tr w14:paraId="6E98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602" w:type="dxa"/>
                  <w:shd w:val="clear" w:color="auto" w:fill="auto"/>
                  <w:noWrap w:val="0"/>
                  <w:vAlign w:val="center"/>
                </w:tcPr>
                <w:p w14:paraId="7DC73188">
                  <w:pPr>
                    <w:jc w:val="center"/>
                    <w:rPr>
                      <w:rFonts w:ascii="宋体" w:hAnsi="宋体"/>
                      <w:szCs w:val="21"/>
                    </w:rPr>
                  </w:pPr>
                  <w:r>
                    <w:rPr>
                      <w:rFonts w:hint="eastAsia" w:ascii="宋体" w:hAnsi="宋体"/>
                      <w:szCs w:val="21"/>
                    </w:rPr>
                    <w:t>3</w:t>
                  </w:r>
                </w:p>
              </w:tc>
              <w:tc>
                <w:tcPr>
                  <w:tcW w:w="971" w:type="dxa"/>
                  <w:shd w:val="clear" w:color="auto" w:fill="auto"/>
                  <w:noWrap w:val="0"/>
                  <w:vAlign w:val="center"/>
                </w:tcPr>
                <w:p w14:paraId="2864FB46">
                  <w:pPr>
                    <w:jc w:val="center"/>
                    <w:rPr>
                      <w:rFonts w:ascii="宋体" w:hAnsi="宋体"/>
                      <w:szCs w:val="21"/>
                    </w:rPr>
                  </w:pPr>
                  <w:r>
                    <w:rPr>
                      <w:rFonts w:hint="eastAsia" w:ascii="宋体" w:hAnsi="宋体"/>
                      <w:szCs w:val="21"/>
                    </w:rPr>
                    <w:t>项目经理</w:t>
                  </w:r>
                </w:p>
              </w:tc>
              <w:tc>
                <w:tcPr>
                  <w:tcW w:w="729" w:type="dxa"/>
                  <w:shd w:val="clear" w:color="auto" w:fill="auto"/>
                  <w:noWrap w:val="0"/>
                  <w:vAlign w:val="center"/>
                </w:tcPr>
                <w:p w14:paraId="31CE1E76">
                  <w:pPr>
                    <w:jc w:val="center"/>
                    <w:rPr>
                      <w:rFonts w:ascii="宋体" w:hAnsi="宋体"/>
                      <w:szCs w:val="21"/>
                    </w:rPr>
                  </w:pPr>
                  <w:r>
                    <w:rPr>
                      <w:rFonts w:ascii="宋体" w:hAnsi="宋体"/>
                      <w:szCs w:val="21"/>
                    </w:rPr>
                    <w:t>5</w:t>
                  </w:r>
                </w:p>
              </w:tc>
              <w:tc>
                <w:tcPr>
                  <w:tcW w:w="5835" w:type="dxa"/>
                  <w:shd w:val="clear" w:color="auto" w:fill="auto"/>
                  <w:noWrap w:val="0"/>
                  <w:vAlign w:val="center"/>
                </w:tcPr>
                <w:p w14:paraId="725089FC">
                  <w:pPr>
                    <w:rPr>
                      <w:rFonts w:hint="eastAsia" w:ascii="宋体" w:hAnsi="宋体"/>
                      <w:szCs w:val="21"/>
                    </w:rPr>
                  </w:pPr>
                  <w:r>
                    <w:rPr>
                      <w:rFonts w:hint="eastAsia" w:ascii="宋体" w:hAnsi="宋体"/>
                      <w:szCs w:val="21"/>
                    </w:rPr>
                    <w:t>根据投标文件提供的项目组人员包括但不限于所具有的专业背景、资格资历等进行综合评定。</w:t>
                  </w:r>
                </w:p>
                <w:p w14:paraId="01B6C8BE">
                  <w:pPr>
                    <w:rPr>
                      <w:rFonts w:hint="eastAsia" w:ascii="宋体" w:hAnsi="宋体"/>
                      <w:szCs w:val="21"/>
                    </w:rPr>
                  </w:pPr>
                  <w:r>
                    <w:rPr>
                      <w:rFonts w:hint="eastAsia" w:ascii="宋体" w:hAnsi="宋体"/>
                      <w:szCs w:val="21"/>
                    </w:rPr>
                    <w:t>本项目经理具备IE级网络认证（CCIE/HCIE/H3CIE/RCIE等）、CISSP、CISA、PMP、ISO27001LA、RHCE 等资格证书，每提供一个证书得1分，最多得5分。</w:t>
                  </w:r>
                </w:p>
                <w:p w14:paraId="153D86B5">
                  <w:pPr>
                    <w:rPr>
                      <w:rFonts w:ascii="宋体" w:hAnsi="宋体"/>
                      <w:szCs w:val="21"/>
                    </w:rPr>
                  </w:pPr>
                  <w:r>
                    <w:rPr>
                      <w:rFonts w:hint="eastAsia" w:ascii="宋体" w:hAnsi="宋体"/>
                      <w:szCs w:val="21"/>
                    </w:rPr>
                    <w:t>注：以上内容须提供证书复印件（加盖投标人公章），不提供不得分。</w:t>
                  </w:r>
                </w:p>
                <w:p w14:paraId="09EA900C">
                  <w:pPr>
                    <w:rPr>
                      <w:rFonts w:ascii="宋体" w:hAnsi="宋体"/>
                      <w:b/>
                      <w:bCs/>
                      <w:color w:val="FF0000"/>
                      <w:szCs w:val="21"/>
                    </w:rPr>
                  </w:pPr>
                  <w:r>
                    <w:rPr>
                      <w:rFonts w:hint="eastAsia" w:ascii="宋体" w:hAnsi="宋体"/>
                      <w:b/>
                      <w:szCs w:val="21"/>
                    </w:rPr>
                    <w:t>另须提供项目经理在投标人单位连续近2年的社保证明或劳动合同证明，否则本大项</w:t>
                  </w:r>
                  <w:r>
                    <w:rPr>
                      <w:rFonts w:ascii="宋体" w:hAnsi="宋体"/>
                      <w:b/>
                      <w:szCs w:val="21"/>
                    </w:rPr>
                    <w:t>5</w:t>
                  </w:r>
                  <w:r>
                    <w:rPr>
                      <w:rFonts w:hint="eastAsia" w:ascii="宋体" w:hAnsi="宋体"/>
                      <w:b/>
                      <w:szCs w:val="21"/>
                    </w:rPr>
                    <w:t>分全部扣除。</w:t>
                  </w:r>
                </w:p>
              </w:tc>
            </w:tr>
            <w:tr w14:paraId="342D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2" w:type="dxa"/>
                  <w:shd w:val="clear" w:color="auto" w:fill="auto"/>
                  <w:noWrap w:val="0"/>
                  <w:vAlign w:val="center"/>
                </w:tcPr>
                <w:p w14:paraId="413BBE27">
                  <w:pPr>
                    <w:jc w:val="center"/>
                    <w:rPr>
                      <w:rFonts w:ascii="宋体" w:hAnsi="宋体"/>
                      <w:szCs w:val="21"/>
                    </w:rPr>
                  </w:pPr>
                  <w:r>
                    <w:rPr>
                      <w:rFonts w:hint="eastAsia" w:ascii="宋体" w:hAnsi="宋体"/>
                      <w:szCs w:val="21"/>
                    </w:rPr>
                    <w:t>4</w:t>
                  </w:r>
                </w:p>
              </w:tc>
              <w:tc>
                <w:tcPr>
                  <w:tcW w:w="971" w:type="dxa"/>
                  <w:shd w:val="clear" w:color="auto" w:fill="auto"/>
                  <w:noWrap w:val="0"/>
                  <w:vAlign w:val="center"/>
                </w:tcPr>
                <w:p w14:paraId="424B89DA">
                  <w:pPr>
                    <w:jc w:val="center"/>
                    <w:rPr>
                      <w:rFonts w:ascii="宋体" w:hAnsi="宋体"/>
                      <w:szCs w:val="21"/>
                    </w:rPr>
                  </w:pPr>
                  <w:r>
                    <w:rPr>
                      <w:rFonts w:hint="eastAsia" w:ascii="宋体" w:hAnsi="宋体"/>
                      <w:szCs w:val="21"/>
                    </w:rPr>
                    <w:t>项目团队成员专业能力</w:t>
                  </w:r>
                </w:p>
              </w:tc>
              <w:tc>
                <w:tcPr>
                  <w:tcW w:w="729" w:type="dxa"/>
                  <w:shd w:val="clear" w:color="auto" w:fill="auto"/>
                  <w:noWrap w:val="0"/>
                  <w:vAlign w:val="center"/>
                </w:tcPr>
                <w:p w14:paraId="304DA908">
                  <w:pPr>
                    <w:jc w:val="center"/>
                    <w:rPr>
                      <w:rFonts w:ascii="宋体" w:hAnsi="宋体"/>
                      <w:szCs w:val="21"/>
                    </w:rPr>
                  </w:pPr>
                  <w:r>
                    <w:rPr>
                      <w:rFonts w:ascii="宋体" w:hAnsi="宋体"/>
                      <w:szCs w:val="21"/>
                    </w:rPr>
                    <w:t>7</w:t>
                  </w:r>
                </w:p>
              </w:tc>
              <w:tc>
                <w:tcPr>
                  <w:tcW w:w="5835" w:type="dxa"/>
                  <w:shd w:val="clear" w:color="auto" w:fill="auto"/>
                  <w:noWrap w:val="0"/>
                  <w:vAlign w:val="center"/>
                </w:tcPr>
                <w:p w14:paraId="52581C20">
                  <w:pPr>
                    <w:rPr>
                      <w:rFonts w:ascii="宋体" w:hAnsi="宋体"/>
                      <w:szCs w:val="21"/>
                    </w:rPr>
                  </w:pPr>
                  <w:r>
                    <w:rPr>
                      <w:rFonts w:hint="eastAsia" w:ascii="宋体" w:hAnsi="宋体"/>
                      <w:szCs w:val="21"/>
                    </w:rPr>
                    <w:t>1.项目团队人员（除项目经理以外的人员）具备项目组成员具有相关数通认证资质IE级CCIE/HCIE/H3CIE/RCIE、安全资质CISP、CISAW、ISO27001LA、《信息安全等级保护安全建设专业技术人员证书》，每提供一个证书得1分，最多得5分。项目团队成员提供近3个月的社保证明或劳动合同证明，否则本大项不得分。</w:t>
                  </w:r>
                </w:p>
                <w:p w14:paraId="3A931A76">
                  <w:pPr>
                    <w:rPr>
                      <w:rFonts w:hint="eastAsia" w:ascii="宋体" w:hAnsi="宋体"/>
                      <w:szCs w:val="21"/>
                    </w:rPr>
                  </w:pPr>
                  <w:r>
                    <w:rPr>
                      <w:rFonts w:hint="eastAsia" w:ascii="宋体" w:hAnsi="宋体"/>
                      <w:szCs w:val="21"/>
                    </w:rPr>
                    <w:t>2.项目团队人员（除项目经理）分工明确、职责清晰的得2分，有缺陷或不满足招标要求得1分，未说明不得分。</w:t>
                  </w:r>
                </w:p>
              </w:tc>
            </w:tr>
            <w:tr w14:paraId="5CD3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2" w:type="dxa"/>
                  <w:shd w:val="clear" w:color="auto" w:fill="auto"/>
                  <w:noWrap w:val="0"/>
                  <w:vAlign w:val="center"/>
                </w:tcPr>
                <w:p w14:paraId="0136349E">
                  <w:pPr>
                    <w:jc w:val="center"/>
                    <w:rPr>
                      <w:rFonts w:ascii="宋体" w:hAnsi="宋体"/>
                      <w:szCs w:val="21"/>
                    </w:rPr>
                  </w:pPr>
                  <w:r>
                    <w:rPr>
                      <w:rFonts w:hint="eastAsia" w:ascii="宋体" w:hAnsi="宋体"/>
                      <w:szCs w:val="21"/>
                    </w:rPr>
                    <w:t>5</w:t>
                  </w:r>
                </w:p>
              </w:tc>
              <w:tc>
                <w:tcPr>
                  <w:tcW w:w="971" w:type="dxa"/>
                  <w:shd w:val="clear" w:color="auto" w:fill="auto"/>
                  <w:noWrap w:val="0"/>
                  <w:vAlign w:val="center"/>
                </w:tcPr>
                <w:p w14:paraId="2265E1D2">
                  <w:pPr>
                    <w:jc w:val="center"/>
                    <w:rPr>
                      <w:rFonts w:ascii="宋体" w:hAnsi="宋体"/>
                      <w:szCs w:val="21"/>
                    </w:rPr>
                  </w:pPr>
                  <w:r>
                    <w:rPr>
                      <w:rFonts w:hint="eastAsia" w:ascii="宋体" w:hAnsi="宋体"/>
                      <w:szCs w:val="21"/>
                    </w:rPr>
                    <w:t>投标人专业水平</w:t>
                  </w:r>
                </w:p>
              </w:tc>
              <w:tc>
                <w:tcPr>
                  <w:tcW w:w="729" w:type="dxa"/>
                  <w:shd w:val="clear" w:color="auto" w:fill="auto"/>
                  <w:noWrap w:val="0"/>
                  <w:vAlign w:val="center"/>
                </w:tcPr>
                <w:p w14:paraId="20ECC1ED">
                  <w:pPr>
                    <w:jc w:val="center"/>
                    <w:rPr>
                      <w:rFonts w:ascii="宋体" w:hAnsi="宋体"/>
                      <w:szCs w:val="21"/>
                    </w:rPr>
                  </w:pPr>
                  <w:r>
                    <w:rPr>
                      <w:rFonts w:ascii="宋体" w:hAnsi="宋体"/>
                      <w:szCs w:val="21"/>
                    </w:rPr>
                    <w:t>5</w:t>
                  </w:r>
                </w:p>
              </w:tc>
              <w:tc>
                <w:tcPr>
                  <w:tcW w:w="5835" w:type="dxa"/>
                  <w:shd w:val="clear" w:color="auto" w:fill="auto"/>
                  <w:noWrap w:val="0"/>
                  <w:vAlign w:val="center"/>
                </w:tcPr>
                <w:p w14:paraId="3C785D61">
                  <w:pPr>
                    <w:autoSpaceDE w:val="0"/>
                    <w:autoSpaceDN w:val="0"/>
                    <w:adjustRightInd w:val="0"/>
                    <w:jc w:val="left"/>
                    <w:rPr>
                      <w:rFonts w:ascii=".." w:hAnsi="宋体" w:eastAsia=".."/>
                      <w:color w:val="000000"/>
                      <w:kern w:val="0"/>
                      <w:szCs w:val="21"/>
                    </w:rPr>
                  </w:pPr>
                  <w:r>
                    <w:rPr>
                      <w:rFonts w:hint="eastAsia" w:ascii=".." w:hAnsi="宋体" w:eastAsia=".."/>
                      <w:color w:val="000000"/>
                      <w:kern w:val="0"/>
                      <w:szCs w:val="21"/>
                    </w:rPr>
                    <w:t>投标人单位具有ISO27001 信息安全管理体系证书、ISO9001质量认证体系证书的，有一项得1分，满分2分；具有CCRC颁发的信息系统安全运维服务（三级）或以上认证的得3分。未提供或资质过期的不得分。提供证书影印件加盖投标人公章，否则视为无效。</w:t>
                  </w:r>
                </w:p>
              </w:tc>
            </w:tr>
            <w:tr w14:paraId="7B1B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2" w:type="dxa"/>
                  <w:shd w:val="clear" w:color="auto" w:fill="auto"/>
                  <w:noWrap w:val="0"/>
                  <w:vAlign w:val="center"/>
                </w:tcPr>
                <w:p w14:paraId="1B7F5131">
                  <w:pPr>
                    <w:jc w:val="center"/>
                    <w:rPr>
                      <w:rFonts w:ascii="宋体" w:hAnsi="宋体"/>
                      <w:szCs w:val="21"/>
                    </w:rPr>
                  </w:pPr>
                  <w:r>
                    <w:rPr>
                      <w:rFonts w:hint="eastAsia" w:ascii="宋体" w:hAnsi="宋体"/>
                      <w:szCs w:val="21"/>
                    </w:rPr>
                    <w:t>6</w:t>
                  </w:r>
                </w:p>
              </w:tc>
              <w:tc>
                <w:tcPr>
                  <w:tcW w:w="971" w:type="dxa"/>
                  <w:shd w:val="clear" w:color="auto" w:fill="auto"/>
                  <w:noWrap w:val="0"/>
                  <w:vAlign w:val="center"/>
                </w:tcPr>
                <w:p w14:paraId="684EA431">
                  <w:pPr>
                    <w:autoSpaceDE w:val="0"/>
                    <w:autoSpaceDN w:val="0"/>
                    <w:adjustRightInd w:val="0"/>
                    <w:jc w:val="center"/>
                    <w:rPr>
                      <w:rFonts w:ascii=".." w:hAnsi="宋体" w:eastAsia=".."/>
                      <w:color w:val="000000"/>
                      <w:kern w:val="0"/>
                      <w:szCs w:val="21"/>
                    </w:rPr>
                  </w:pPr>
                  <w:r>
                    <w:rPr>
                      <w:rFonts w:hint="eastAsia" w:ascii=".." w:hAnsi="宋体" w:eastAsia=".."/>
                      <w:color w:val="000000"/>
                      <w:kern w:val="0"/>
                      <w:szCs w:val="21"/>
                    </w:rPr>
                    <w:t>类似业绩</w:t>
                  </w:r>
                </w:p>
              </w:tc>
              <w:tc>
                <w:tcPr>
                  <w:tcW w:w="729" w:type="dxa"/>
                  <w:shd w:val="clear" w:color="auto" w:fill="auto"/>
                  <w:noWrap w:val="0"/>
                  <w:vAlign w:val="center"/>
                </w:tcPr>
                <w:p w14:paraId="79BF92B2">
                  <w:pPr>
                    <w:jc w:val="center"/>
                    <w:rPr>
                      <w:rFonts w:ascii="宋体" w:hAnsi="宋体"/>
                      <w:szCs w:val="21"/>
                    </w:rPr>
                  </w:pPr>
                  <w:r>
                    <w:rPr>
                      <w:rFonts w:ascii="宋体" w:hAnsi="宋体"/>
                      <w:szCs w:val="21"/>
                    </w:rPr>
                    <w:t>8</w:t>
                  </w:r>
                </w:p>
              </w:tc>
              <w:tc>
                <w:tcPr>
                  <w:tcW w:w="5835" w:type="dxa"/>
                  <w:shd w:val="clear" w:color="auto" w:fill="auto"/>
                  <w:noWrap w:val="0"/>
                  <w:vAlign w:val="center"/>
                </w:tcPr>
                <w:p w14:paraId="3D1B8B3D">
                  <w:pPr>
                    <w:autoSpaceDE w:val="0"/>
                    <w:autoSpaceDN w:val="0"/>
                    <w:adjustRightInd w:val="0"/>
                    <w:rPr>
                      <w:rFonts w:ascii=".." w:hAnsi="宋体" w:eastAsia=".."/>
                      <w:color w:val="000000"/>
                      <w:kern w:val="0"/>
                      <w:szCs w:val="21"/>
                    </w:rPr>
                  </w:pPr>
                  <w:r>
                    <w:rPr>
                      <w:rFonts w:hint="eastAsia" w:ascii=".." w:hAnsi="宋体" w:eastAsia=".."/>
                      <w:color w:val="000000"/>
                      <w:kern w:val="0"/>
                      <w:szCs w:val="21"/>
                    </w:rPr>
                    <w:t>根据投标人提供的近3年以来（202</w:t>
                  </w:r>
                  <w:r>
                    <w:rPr>
                      <w:rFonts w:ascii=".." w:hAnsi="宋体" w:eastAsia=".."/>
                      <w:color w:val="000000"/>
                      <w:kern w:val="0"/>
                      <w:szCs w:val="21"/>
                    </w:rPr>
                    <w:t>2</w:t>
                  </w:r>
                  <w:r>
                    <w:rPr>
                      <w:rFonts w:hint="eastAsia" w:ascii=".." w:hAnsi="宋体" w:eastAsia=".."/>
                      <w:color w:val="000000"/>
                      <w:kern w:val="0"/>
                      <w:szCs w:val="21"/>
                    </w:rPr>
                    <w:t>年</w:t>
                  </w:r>
                  <w:r>
                    <w:rPr>
                      <w:rFonts w:ascii=".." w:hAnsi="宋体" w:eastAsia=".."/>
                      <w:color w:val="000000"/>
                      <w:kern w:val="0"/>
                      <w:szCs w:val="21"/>
                    </w:rPr>
                    <w:t>7</w:t>
                  </w:r>
                  <w:r>
                    <w:rPr>
                      <w:rFonts w:hint="eastAsia" w:ascii=".." w:hAnsi="宋体" w:eastAsia=".."/>
                      <w:color w:val="000000"/>
                      <w:kern w:val="0"/>
                      <w:szCs w:val="21"/>
                    </w:rPr>
                    <w:t>月1日至今）的有效类似项目业绩进行评审，需提供相关业绩的合同复印件（需包括合同首页、服务标的页、双方签章页方为有效，同一甲方的多年合同仅视为一个有效业绩），每提供一个有效业绩得2分，最高得8分，未提供者不得分。</w:t>
                  </w:r>
                </w:p>
              </w:tc>
            </w:tr>
          </w:tbl>
          <w:p w14:paraId="5C80B56C">
            <w:pPr>
              <w:pStyle w:val="10"/>
              <w:numPr>
                <w:ilvl w:val="0"/>
                <w:numId w:val="0"/>
              </w:numPr>
              <w:spacing w:line="520" w:lineRule="exact"/>
              <w:rPr>
                <w:rFonts w:hint="default" w:ascii="宋体" w:hAnsi="宋体" w:cs="宋体"/>
                <w:b/>
                <w:bCs/>
                <w:szCs w:val="21"/>
                <w:lang w:val="en-US" w:eastAsia="zh-CN"/>
              </w:rPr>
            </w:pPr>
          </w:p>
          <w:p w14:paraId="6D49EC7B">
            <w:pPr>
              <w:spacing w:line="320" w:lineRule="exact"/>
              <w:rPr>
                <w:rFonts w:ascii="宋体" w:hAnsi="宋体" w:cs="宋体"/>
                <w:szCs w:val="21"/>
              </w:rPr>
            </w:pPr>
          </w:p>
        </w:tc>
      </w:tr>
      <w:tr w14:paraId="1BBB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212" w:type="dxa"/>
            <w:vAlign w:val="center"/>
          </w:tcPr>
          <w:p w14:paraId="16877464">
            <w:pPr>
              <w:spacing w:line="360" w:lineRule="auto"/>
              <w:jc w:val="center"/>
              <w:rPr>
                <w:rFonts w:ascii="宋体" w:hAnsi="宋体"/>
                <w:b/>
                <w:szCs w:val="21"/>
              </w:rPr>
            </w:pPr>
            <w:r>
              <w:rPr>
                <w:rFonts w:hint="eastAsia" w:ascii="宋体" w:hAnsi="宋体"/>
                <w:b/>
                <w:szCs w:val="21"/>
              </w:rPr>
              <w:t>支付方式</w:t>
            </w:r>
          </w:p>
        </w:tc>
        <w:tc>
          <w:tcPr>
            <w:tcW w:w="8268" w:type="dxa"/>
            <w:gridSpan w:val="3"/>
            <w:vAlign w:val="center"/>
          </w:tcPr>
          <w:p w14:paraId="6588CEEE">
            <w:pPr>
              <w:spacing w:line="360" w:lineRule="auto"/>
              <w:rPr>
                <w:rFonts w:ascii="宋体" w:hAnsi="宋体" w:cs="宋体"/>
                <w:bCs/>
                <w:szCs w:val="21"/>
              </w:rPr>
            </w:pPr>
            <w:r>
              <w:rPr>
                <w:rFonts w:hint="eastAsia" w:ascii="宋体" w:hAnsi="宋体" w:cs="宋体"/>
                <w:b/>
                <w:bCs/>
                <w:szCs w:val="21"/>
              </w:rPr>
              <w:t>分两期付款</w:t>
            </w:r>
            <w:r>
              <w:rPr>
                <w:rFonts w:hint="eastAsia" w:ascii="宋体" w:hAnsi="宋体" w:cs="宋体"/>
                <w:bCs/>
                <w:szCs w:val="21"/>
              </w:rPr>
              <w:t>：</w:t>
            </w:r>
          </w:p>
          <w:p w14:paraId="0042D3E7">
            <w:pPr>
              <w:pStyle w:val="3"/>
              <w:keepNext w:val="0"/>
              <w:keepLines w:val="0"/>
              <w:pageBreakBefore w:val="0"/>
              <w:numPr>
                <w:ilvl w:val="0"/>
                <w:numId w:val="0"/>
              </w:numPr>
              <w:kinsoku/>
              <w:wordWrap/>
              <w:overflowPunct/>
              <w:topLinePunct w:val="0"/>
              <w:autoSpaceDE/>
              <w:autoSpaceDN/>
              <w:bidi w:val="0"/>
              <w:adjustRightInd/>
              <w:snapToGrid/>
              <w:spacing w:line="360" w:lineRule="auto"/>
              <w:ind w:right="0" w:rightChars="0"/>
              <w:textAlignment w:val="auto"/>
              <w:rPr>
                <w:rFonts w:ascii="宋体" w:hAnsi="宋体" w:eastAsia="宋体"/>
                <w:sz w:val="21"/>
                <w:szCs w:val="21"/>
              </w:rPr>
            </w:pPr>
            <w:r>
              <w:rPr>
                <w:rFonts w:hint="eastAsia" w:ascii="宋体" w:hAnsi="宋体" w:eastAsia="宋体"/>
                <w:sz w:val="21"/>
                <w:szCs w:val="21"/>
              </w:rPr>
              <w:t>第一期付款：合同签署之后，由甲方向乙方支付合同首付款为合同款总额的50%（百分之伍拾）</w:t>
            </w:r>
            <w:r>
              <w:rPr>
                <w:rFonts w:hint="eastAsia" w:ascii="宋体" w:hAnsi="宋体" w:eastAsia="宋体"/>
                <w:sz w:val="21"/>
                <w:szCs w:val="21"/>
                <w:lang w:eastAsia="zh-CN"/>
              </w:rPr>
              <w:t>。</w:t>
            </w:r>
          </w:p>
          <w:p w14:paraId="6204D557">
            <w:pPr>
              <w:spacing w:line="360" w:lineRule="auto"/>
              <w:rPr>
                <w:rFonts w:ascii="宋体" w:hAnsi="宋体"/>
                <w:b/>
                <w:szCs w:val="21"/>
              </w:rPr>
            </w:pPr>
            <w:r>
              <w:rPr>
                <w:rFonts w:hint="eastAsia" w:ascii="宋体" w:hAnsi="宋体" w:eastAsia="宋体"/>
                <w:sz w:val="21"/>
                <w:szCs w:val="21"/>
              </w:rPr>
              <w:t>第二期付款：服务期结束后经甲方职能部门进行审核终验，乙方不存在违约情形或质量问题的，由甲方向乙方支付尾款：合同款总额的50%（百分之伍拾）。</w:t>
            </w:r>
          </w:p>
        </w:tc>
      </w:tr>
    </w:tbl>
    <w:p w14:paraId="142A6CE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00"/>
    <w:family w:val="auto"/>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357A9"/>
    <w:multiLevelType w:val="singleLevel"/>
    <w:tmpl w:val="C8D357A9"/>
    <w:lvl w:ilvl="0" w:tentative="0">
      <w:start w:val="1"/>
      <w:numFmt w:val="decimal"/>
      <w:lvlText w:val="%1."/>
      <w:lvlJc w:val="left"/>
      <w:pPr>
        <w:tabs>
          <w:tab w:val="left" w:pos="312"/>
        </w:tabs>
      </w:pPr>
    </w:lvl>
  </w:abstractNum>
  <w:abstractNum w:abstractNumId="1">
    <w:nsid w:val="1CE94950"/>
    <w:multiLevelType w:val="multilevel"/>
    <w:tmpl w:val="1CE94950"/>
    <w:lvl w:ilvl="0" w:tentative="0">
      <w:start w:val="1"/>
      <w:numFmt w:val="decimal"/>
      <w:lvlText w:val="%1、"/>
      <w:lvlJc w:val="left"/>
      <w:pPr>
        <w:ind w:left="425" w:hanging="425"/>
      </w:pPr>
      <w:rPr>
        <w:rFonts w:hint="eastAsia"/>
      </w:rPr>
    </w:lvl>
    <w:lvl w:ilvl="1" w:tentative="0">
      <w:start w:val="1"/>
      <w:numFmt w:val="lowerLetter"/>
      <w:lvlText w:val="%2)"/>
      <w:lvlJc w:val="left"/>
      <w:pPr>
        <w:ind w:left="567" w:hanging="567"/>
      </w:pPr>
      <w:rPr>
        <w:rFonts w:hint="eastAsia"/>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36D66C9A"/>
    <w:multiLevelType w:val="multilevel"/>
    <w:tmpl w:val="36D66C9A"/>
    <w:lvl w:ilvl="0" w:tentative="0">
      <w:start w:val="1"/>
      <w:numFmt w:val="chineseCountingThousand"/>
      <w:suff w:val="space"/>
      <w:lvlText w:val="%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37CB2D0A"/>
    <w:multiLevelType w:val="multilevel"/>
    <w:tmpl w:val="37CB2D0A"/>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C35926"/>
    <w:multiLevelType w:val="multilevel"/>
    <w:tmpl w:val="52C35926"/>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2662AA"/>
    <w:multiLevelType w:val="multilevel"/>
    <w:tmpl w:val="592662A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446A09"/>
    <w:multiLevelType w:val="multilevel"/>
    <w:tmpl w:val="67446A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wMzk2ZDIxODUwNmZjNDE3YTY4ZjA1ZTAxNGJjZmUifQ=="/>
  </w:docVars>
  <w:rsids>
    <w:rsidRoot w:val="00AA4D0B"/>
    <w:rsid w:val="00010705"/>
    <w:rsid w:val="001346D2"/>
    <w:rsid w:val="002447B9"/>
    <w:rsid w:val="005E161C"/>
    <w:rsid w:val="005F4093"/>
    <w:rsid w:val="00683B55"/>
    <w:rsid w:val="00754B56"/>
    <w:rsid w:val="008C13D2"/>
    <w:rsid w:val="00AA4D0B"/>
    <w:rsid w:val="00AF1EC3"/>
    <w:rsid w:val="00AF513C"/>
    <w:rsid w:val="00C143E3"/>
    <w:rsid w:val="00D716BA"/>
    <w:rsid w:val="00DA5F71"/>
    <w:rsid w:val="00DA6431"/>
    <w:rsid w:val="00F70E1D"/>
    <w:rsid w:val="07A12CA7"/>
    <w:rsid w:val="0B703DF3"/>
    <w:rsid w:val="0D8C0AC9"/>
    <w:rsid w:val="0F461684"/>
    <w:rsid w:val="10D77CE1"/>
    <w:rsid w:val="111F044C"/>
    <w:rsid w:val="116255F3"/>
    <w:rsid w:val="1D7006A6"/>
    <w:rsid w:val="1D846598"/>
    <w:rsid w:val="294C79D0"/>
    <w:rsid w:val="2B2266DF"/>
    <w:rsid w:val="30EF0CD8"/>
    <w:rsid w:val="37A86ABA"/>
    <w:rsid w:val="3BA174BE"/>
    <w:rsid w:val="40587405"/>
    <w:rsid w:val="4379263F"/>
    <w:rsid w:val="43BF1C6B"/>
    <w:rsid w:val="43D22943"/>
    <w:rsid w:val="45F424AB"/>
    <w:rsid w:val="47216E20"/>
    <w:rsid w:val="4E7C25E4"/>
    <w:rsid w:val="55835825"/>
    <w:rsid w:val="571F4B79"/>
    <w:rsid w:val="5EDD61AF"/>
    <w:rsid w:val="6250112C"/>
    <w:rsid w:val="6D2E5B3F"/>
    <w:rsid w:val="6E664B2B"/>
    <w:rsid w:val="71DF0AB2"/>
    <w:rsid w:val="738A18D2"/>
    <w:rsid w:val="73B249D7"/>
    <w:rsid w:val="746E0A10"/>
    <w:rsid w:val="75895467"/>
    <w:rsid w:val="76D43A3C"/>
    <w:rsid w:val="77E22E8D"/>
    <w:rsid w:val="7CF5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Block Text"/>
    <w:basedOn w:val="1"/>
    <w:unhideWhenUsed/>
    <w:qFormat/>
    <w:uiPriority w:val="0"/>
    <w:pPr>
      <w:spacing w:after="120"/>
      <w:ind w:left="1440" w:leftChars="700" w:right="1440" w:rightChars="700"/>
    </w:pPr>
    <w:rPr>
      <w:rFonts w:asciiTheme="minorHAnsi" w:hAnsiTheme="minorHAnsi" w:eastAsiaTheme="minorEastAsia" w:cstheme="minorBidi"/>
      <w:szCs w:val="24"/>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link w:val="16"/>
    <w:qFormat/>
    <w:uiPriority w:val="0"/>
    <w:pPr>
      <w:ind w:firstLine="420" w:firstLineChars="200"/>
    </w:pPr>
  </w:style>
  <w:style w:type="character" w:customStyle="1" w:styleId="11">
    <w:name w:val="页眉 字符"/>
    <w:basedOn w:val="9"/>
    <w:link w:val="5"/>
    <w:qFormat/>
    <w:uiPriority w:val="0"/>
    <w:rPr>
      <w:rFonts w:ascii="Calibri" w:hAnsi="Calibri"/>
      <w:kern w:val="2"/>
      <w:sz w:val="18"/>
      <w:szCs w:val="18"/>
    </w:rPr>
  </w:style>
  <w:style w:type="character" w:customStyle="1" w:styleId="12">
    <w:name w:val="页脚 字符"/>
    <w:basedOn w:val="9"/>
    <w:link w:val="4"/>
    <w:qFormat/>
    <w:uiPriority w:val="0"/>
    <w:rPr>
      <w:rFonts w:ascii="Calibri" w:hAnsi="Calibri"/>
      <w:kern w:val="2"/>
      <w:sz w:val="18"/>
      <w:szCs w:val="18"/>
    </w:rPr>
  </w:style>
  <w:style w:type="paragraph" w:customStyle="1" w:styleId="13">
    <w:name w:val="Default"/>
    <w:qFormat/>
    <w:uiPriority w:val="0"/>
    <w:pPr>
      <w:widowControl w:val="0"/>
      <w:autoSpaceDE w:val="0"/>
      <w:autoSpaceDN w:val="0"/>
      <w:adjustRightInd w:val="0"/>
    </w:pPr>
    <w:rPr>
      <w:rFonts w:ascii="......." w:hAnsi="......." w:eastAsia="......." w:cs="Times New Roman"/>
      <w:color w:val="000000"/>
      <w:sz w:val="24"/>
      <w:szCs w:val="24"/>
      <w:lang w:val="en-US" w:eastAsia="zh-CN" w:bidi="ar-SA"/>
    </w:rPr>
  </w:style>
  <w:style w:type="character" w:customStyle="1" w:styleId="14">
    <w:name w:val="无间隔 字符"/>
    <w:link w:val="15"/>
    <w:qFormat/>
    <w:uiPriority w:val="1"/>
    <w:rPr>
      <w:kern w:val="2"/>
      <w:sz w:val="21"/>
      <w:szCs w:val="22"/>
    </w:rPr>
  </w:style>
  <w:style w:type="paragraph" w:styleId="15">
    <w:name w:val="No Spacing"/>
    <w:link w:val="14"/>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6">
    <w:name w:val="列表段落 字符"/>
    <w:link w:val="10"/>
    <w:qFormat/>
    <w:locked/>
    <w:uiPriority w:val="0"/>
    <w:rPr>
      <w:rFonts w:ascii="Calibri" w:hAnsi="Calibri"/>
      <w:kern w:val="2"/>
      <w:sz w:val="21"/>
      <w:szCs w:val="22"/>
    </w:rPr>
  </w:style>
  <w:style w:type="paragraph" w:customStyle="1" w:styleId="17">
    <w:name w:val="_Style 17"/>
    <w:basedOn w:val="1"/>
    <w:next w:val="10"/>
    <w:qFormat/>
    <w:uiPriority w:val="34"/>
    <w:pPr>
      <w:ind w:firstLine="420" w:firstLineChars="200"/>
    </w:pPr>
    <w:rPr>
      <w:rFonts w:ascii="Times New Roman" w:hAnsi="Times New Roman"/>
    </w:rPr>
  </w:style>
  <w:style w:type="paragraph" w:customStyle="1" w:styleId="18">
    <w:name w:val="无间隔1"/>
    <w:qFormat/>
    <w:uiPriority w:val="1"/>
    <w:pPr>
      <w:widowControl w:val="0"/>
    </w:pPr>
    <w:rPr>
      <w:rFonts w:ascii="仿宋" w:hAnsi="宋体" w:eastAsia="仿宋" w:cs="Times New Roman"/>
      <w:kern w:val="2"/>
      <w:sz w:val="24"/>
      <w:szCs w:val="24"/>
      <w:lang w:val="en-US" w:eastAsia="zh-CN" w:bidi="ar-SA"/>
    </w:rPr>
  </w:style>
  <w:style w:type="character" w:customStyle="1" w:styleId="19">
    <w:name w:val="font61"/>
    <w:basedOn w:val="9"/>
    <w:qFormat/>
    <w:uiPriority w:val="0"/>
    <w:rPr>
      <w:rFonts w:hint="eastAsia" w:ascii="宋体" w:hAnsi="宋体" w:eastAsia="宋体" w:cs="宋体"/>
      <w:color w:val="000000"/>
      <w:sz w:val="21"/>
      <w:szCs w:val="21"/>
      <w:u w:val="none"/>
    </w:rPr>
  </w:style>
  <w:style w:type="character" w:customStyle="1" w:styleId="20">
    <w:name w:val="font71"/>
    <w:basedOn w:val="9"/>
    <w:qFormat/>
    <w:uiPriority w:val="0"/>
    <w:rPr>
      <w:rFonts w:hint="default" w:ascii="Times New Roman" w:hAnsi="Times New Roman" w:cs="Times New Roman"/>
      <w:color w:val="000000"/>
      <w:sz w:val="21"/>
      <w:szCs w:val="21"/>
      <w:u w:val="none"/>
    </w:rPr>
  </w:style>
  <w:style w:type="character" w:customStyle="1" w:styleId="21">
    <w:name w:val="font51"/>
    <w:basedOn w:val="9"/>
    <w:qFormat/>
    <w:uiPriority w:val="0"/>
    <w:rPr>
      <w:rFonts w:hint="eastAsia" w:ascii="宋体" w:hAnsi="宋体" w:eastAsia="宋体" w:cs="宋体"/>
      <w:color w:val="000000"/>
      <w:sz w:val="21"/>
      <w:szCs w:val="21"/>
      <w:u w:val="none"/>
    </w:rPr>
  </w:style>
  <w:style w:type="paragraph" w:customStyle="1" w:styleId="22">
    <w:name w:val="_Style 1"/>
    <w:basedOn w:val="1"/>
    <w:qFormat/>
    <w:uiPriority w:val="34"/>
    <w:pPr>
      <w:widowControl/>
      <w:pBdr>
        <w:top w:val="none" w:color="auto" w:sz="0" w:space="0"/>
        <w:left w:val="none" w:color="auto" w:sz="0" w:space="0"/>
        <w:bottom w:val="none" w:color="auto" w:sz="0" w:space="0"/>
        <w:right w:val="none" w:color="auto" w:sz="0" w:space="0"/>
        <w:between w:val="none" w:color="auto" w:sz="0" w:space="0"/>
      </w:pBdr>
      <w:ind w:firstLine="420" w:firstLineChars="200"/>
      <w:jc w:val="left"/>
    </w:pPr>
    <w:rPr>
      <w:rFonts w:hint="default" w:ascii="宋体" w:hAnsi="宋体" w:eastAsia="宋体" w:cs="宋体"/>
      <w:color w:val="auto"/>
      <w:kern w:val="0"/>
      <w:sz w:val="24"/>
      <w:szCs w:val="24"/>
    </w:rPr>
  </w:style>
  <w:style w:type="paragraph" w:customStyle="1" w:styleId="23">
    <w:name w:val="_Style 2"/>
    <w:basedOn w:val="1"/>
    <w:qFormat/>
    <w:uiPriority w:val="34"/>
    <w:pPr>
      <w:widowControl/>
      <w:pBdr>
        <w:top w:val="none" w:color="auto" w:sz="0" w:space="0"/>
        <w:left w:val="none" w:color="auto" w:sz="0" w:space="0"/>
        <w:bottom w:val="none" w:color="auto" w:sz="0" w:space="0"/>
        <w:right w:val="none" w:color="auto" w:sz="0" w:space="0"/>
        <w:between w:val="none" w:color="auto" w:sz="0" w:space="0"/>
      </w:pBdr>
      <w:ind w:firstLine="420" w:firstLineChars="200"/>
      <w:jc w:val="left"/>
    </w:pPr>
    <w:rPr>
      <w:rFonts w:hint="default" w:ascii="宋体" w:hAnsi="宋体" w:eastAsia="宋体" w:cs="宋体"/>
      <w:color w:val="auto"/>
      <w:kern w:val="0"/>
      <w:sz w:val="24"/>
      <w:szCs w:val="24"/>
    </w:rPr>
  </w:style>
  <w:style w:type="paragraph" w:customStyle="1" w:styleId="24">
    <w:name w:val="列表段落1"/>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6179</Words>
  <Characters>6564</Characters>
  <Lines>27</Lines>
  <Paragraphs>7</Paragraphs>
  <TotalTime>8</TotalTime>
  <ScaleCrop>false</ScaleCrop>
  <LinksUpToDate>false</LinksUpToDate>
  <CharactersWithSpaces>6568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2025-08-15T03:37:00Z</dcterms:created>
  <dc:creator>HP</dc:creator>
  <cp:lastModifiedBy>王仁睿</cp:lastModifiedBy>
  <cp:lastPrinted>2025-05-23T07:09:00Z</cp:lastPrinted>
  <dcterms:modified xsi:type="dcterms:W3CDTF">2025-12-03T03:44:59Z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7187340DCC0D44A4A7B66DBB86D12953_13</vt:lpwstr>
  </property>
  <property fmtid="{D5CDD505-2E9C-101B-9397-08002B2CF9AE}" pid="4" name="KSOTemplateDocerSaveRecord">
    <vt:lpwstr>eyJoZGlkIjoiNWRjZTM5MDljNmQ5ODRiMjVlYzUyMzliYmNlZGNlYTEiLCJ1c2VySWQiOiIzMTgzOTk0NjkifQ==</vt:lpwstr>
  </property>
</Properties>
</file>