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8D61D">
      <w:pPr>
        <w:pStyle w:val="1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13"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bidi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 w:bidi="en-US"/>
        </w:rPr>
        <w:t>上海外国语大学松江校区图文信息中心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 w:bidi="en-US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 w:bidi="en-US"/>
        </w:rPr>
        <w:t>房屋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bidi="en-US"/>
        </w:rPr>
        <w:t>抗震鉴定服务比选采购需求书</w:t>
      </w:r>
    </w:p>
    <w:p w14:paraId="4A94251A">
      <w:pPr>
        <w:pStyle w:val="1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13" w:line="360" w:lineRule="auto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bidi="en-US"/>
        </w:rPr>
      </w:pPr>
    </w:p>
    <w:p w14:paraId="6A476D6A">
      <w:pPr>
        <w:pStyle w:val="1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13" w:line="360" w:lineRule="auto"/>
        <w:ind w:firstLine="420"/>
        <w:jc w:val="both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一、项目简介</w:t>
      </w:r>
    </w:p>
    <w:p w14:paraId="513D6C8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/>
        <w:ind w:firstLine="42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本项目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松江校区图文信息中心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为整体修缮，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建筑高度为60.70米，总建筑面积为31313.99平方米，地上七层，地下一层，建于2001年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</w:t>
      </w:r>
    </w:p>
    <w:p w14:paraId="3C78410B">
      <w:pPr>
        <w:pStyle w:val="1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360" w:lineRule="auto"/>
        <w:ind w:firstLine="425"/>
        <w:jc w:val="both"/>
        <w:rPr>
          <w:rFonts w:hint="eastAsia" w:ascii="仿宋_GB2312" w:hAnsi="仿宋_GB2312" w:eastAsia="仿宋_GB2312" w:cs="仿宋_GB2312"/>
          <w:b/>
          <w:sz w:val="28"/>
          <w:szCs w:val="28"/>
          <w:lang w:val="en-US" w:bidi="en-US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bidi="en-US"/>
        </w:rPr>
        <w:t>二、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检测范围</w:t>
      </w:r>
    </w:p>
    <w:p w14:paraId="653616C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针对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松江校区图文信息中心整楼</w:t>
      </w:r>
      <w:r>
        <w:rPr>
          <w:rFonts w:hint="eastAsia" w:ascii="仿宋_GB2312" w:hAnsi="仿宋_GB2312" w:eastAsia="仿宋_GB2312" w:cs="仿宋_GB2312"/>
          <w:sz w:val="28"/>
          <w:szCs w:val="28"/>
        </w:rPr>
        <w:t>完成相关的房屋抗震鉴定工作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并（包括甲方改变使用功能后的抗震鉴定工作）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28"/>
          <w:szCs w:val="28"/>
        </w:rPr>
        <w:t>出具正式鉴定报告，具体以满足设计及审图等要求为准。</w:t>
      </w:r>
    </w:p>
    <w:p w14:paraId="5D82A130">
      <w:pPr>
        <w:numPr>
          <w:ilvl w:val="0"/>
          <w:numId w:val="2"/>
        </w:num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/>
        <w:ind w:firstLine="420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 w:bidi="zh-CN"/>
        </w:rPr>
        <w:t>响应单位资格要求</w:t>
      </w:r>
    </w:p>
    <w:p w14:paraId="321BF99F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本次抗震鉴定比选的响应单位资格要求如下：</w:t>
      </w:r>
    </w:p>
    <w:p w14:paraId="66E3F00F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(1)、中华人民共和国境内具有独立法人资格的单位，持有有效的营业执照；</w:t>
      </w:r>
    </w:p>
    <w:p w14:paraId="05336E3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(2)、具有良好的商业信誉和合法经营记录，没有重大违法违规行为和不良记录；</w:t>
      </w:r>
    </w:p>
    <w:p w14:paraId="19767031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(3)、须具有房屋质量检测证书，具备履行合同所必需的设备和专业技术能力；</w:t>
      </w:r>
    </w:p>
    <w:p w14:paraId="24A0903A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（4）、须在上海市房屋管理局发布的房屋检测鉴定单位名录内</w:t>
      </w:r>
    </w:p>
    <w:p w14:paraId="56853CFE">
      <w:pPr>
        <w:tabs>
          <w:tab w:val="left" w:pos="48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jc w:val="left"/>
        <w:rPr>
          <w:rFonts w:hint="eastAsia" w:ascii="仿宋_GB2312" w:hAnsi="仿宋_GB2312" w:eastAsia="仿宋_GB2312" w:cs="仿宋_GB2312"/>
          <w:b/>
          <w:sz w:val="28"/>
          <w:szCs w:val="28"/>
          <w:lang w:val="en-US" w:bidi="en-US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 w:bidi="en-US"/>
        </w:rPr>
        <w:t>四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bidi="en-US"/>
        </w:rPr>
        <w:t>、检测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依据</w:t>
      </w:r>
    </w:p>
    <w:p w14:paraId="70F4030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需求</w:t>
      </w:r>
      <w:r>
        <w:rPr>
          <w:rFonts w:hint="eastAsia" w:ascii="仿宋_GB2312" w:hAnsi="仿宋_GB2312" w:eastAsia="仿宋_GB2312" w:cs="仿宋_GB2312"/>
          <w:sz w:val="28"/>
          <w:szCs w:val="28"/>
        </w:rPr>
        <w:t>书。</w:t>
      </w:r>
    </w:p>
    <w:p w14:paraId="5C24AC75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2、部分原施工图和前期政府相关文件等（缺失图纸需现场测绘复核）。</w:t>
      </w:r>
    </w:p>
    <w:p w14:paraId="05F8F606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3、项目现场实际情况（自行踏勘）。</w:t>
      </w:r>
    </w:p>
    <w:p w14:paraId="7CF4CD6A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4、国家、地方的相关法律、法规和技术规范，包括不限于以下标准和规范：</w:t>
      </w:r>
    </w:p>
    <w:p w14:paraId="31F6BE5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[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]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《建筑结构检测技术标准》GB/T50344-2019；</w:t>
      </w:r>
    </w:p>
    <w:p w14:paraId="5F446663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[2]《建筑变形测量规范》JGJ8-2016；</w:t>
      </w:r>
    </w:p>
    <w:p w14:paraId="5E18C9F1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[3]《混凝土中钢筋检测技术标准》JGJ/T152-2019；</w:t>
      </w:r>
    </w:p>
    <w:p w14:paraId="7808048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[4]《回弹法检测混凝土强度技术规程》JGJ/T23-2011；</w:t>
      </w:r>
    </w:p>
    <w:p w14:paraId="66A3ABE7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[5]《砌体工程现场检测技术标准》GB/T50315-2011</w:t>
      </w:r>
    </w:p>
    <w:p w14:paraId="42F4513A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bookmarkStart w:id="0" w:name="OLE_LINK6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[6]《贯入法检测砌筑砂浆抗压强度技术规程》JGJ/T136-2017</w:t>
      </w:r>
      <w:bookmarkEnd w:id="0"/>
    </w:p>
    <w:p w14:paraId="55727F2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[7]《既有建筑鉴定与加固通用规范》GB55021-2021；</w:t>
      </w:r>
    </w:p>
    <w:p w14:paraId="6B7CF211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[8]《工程结构通用规范》GB55001-2021；</w:t>
      </w:r>
    </w:p>
    <w:p w14:paraId="335F65AC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[9]《建筑地基基础设计规范》GB50007-2011；</w:t>
      </w:r>
    </w:p>
    <w:p w14:paraId="6DCC35BF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bookmarkStart w:id="1" w:name="OLE_LINK18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[10]《建筑结构荷载规范》GB50009-2012</w:t>
      </w:r>
      <w:bookmarkEnd w:id="1"/>
    </w:p>
    <w:p w14:paraId="4E36DE6A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[11]《建筑抗震设计标准》GB/T50011-2016（2024版）</w:t>
      </w:r>
    </w:p>
    <w:p w14:paraId="29FF766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[12]《建筑抗震鉴定标准》（GB 50023-2009）；</w:t>
      </w:r>
    </w:p>
    <w:p w14:paraId="48E91C7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[13]《民用建筑可靠性鉴定标准》（GB 50292-2015）</w:t>
      </w:r>
    </w:p>
    <w:p w14:paraId="561A7579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5、其他材料。</w:t>
      </w:r>
    </w:p>
    <w:p w14:paraId="7C06AE25">
      <w:pPr>
        <w:tabs>
          <w:tab w:val="left" w:pos="48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jc w:val="left"/>
        <w:rPr>
          <w:rFonts w:hint="eastAsia" w:ascii="仿宋_GB2312" w:hAnsi="仿宋_GB2312" w:eastAsia="仿宋_GB2312" w:cs="仿宋_GB2312"/>
          <w:b/>
          <w:sz w:val="28"/>
          <w:szCs w:val="28"/>
          <w:lang w:val="en-US" w:bidi="en-US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、检测内容</w:t>
      </w:r>
    </w:p>
    <w:p w14:paraId="5F745523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检测内容应包含但不限于：</w:t>
      </w:r>
    </w:p>
    <w:p w14:paraId="0CF2FE0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1．调查房屋建造信息资料</w:t>
      </w:r>
    </w:p>
    <w:p w14:paraId="6109067F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2．房屋现场测绘复核</w:t>
      </w:r>
    </w:p>
    <w:p w14:paraId="324B24CF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3．房屋楼屋面荷载调查</w:t>
      </w:r>
    </w:p>
    <w:p w14:paraId="07CFD78B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4．房屋完损现状调查</w:t>
      </w:r>
    </w:p>
    <w:p w14:paraId="4B8CA7C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5．材料强度检测</w:t>
      </w:r>
    </w:p>
    <w:p w14:paraId="6E0CF3D9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6．钢筋配置情况检测</w:t>
      </w:r>
    </w:p>
    <w:p w14:paraId="01F3D06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7．房屋倾斜和相对高差测量</w:t>
      </w:r>
    </w:p>
    <w:p w14:paraId="018DFF85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8．抗震措施鉴定和结构承载力验算</w:t>
      </w:r>
    </w:p>
    <w:p w14:paraId="3F904279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9. 加固处理建议</w:t>
      </w:r>
    </w:p>
    <w:p w14:paraId="36472B87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10．</w:t>
      </w:r>
      <w:bookmarkStart w:id="2" w:name="_Toc177526625"/>
      <w:r>
        <w:rPr>
          <w:rFonts w:hint="eastAsia" w:ascii="仿宋_GB2312" w:hAnsi="仿宋_GB2312" w:eastAsia="仿宋_GB2312" w:cs="仿宋_GB2312"/>
          <w:sz w:val="28"/>
          <w:szCs w:val="28"/>
        </w:rPr>
        <w:t>出具正式鉴定报告配合项目推进</w:t>
      </w:r>
      <w:bookmarkEnd w:id="2"/>
    </w:p>
    <w:p w14:paraId="635DA26C">
      <w:pPr>
        <w:tabs>
          <w:tab w:val="left" w:pos="48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jc w:val="lef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、检测要求</w:t>
      </w:r>
    </w:p>
    <w:p w14:paraId="44AE108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本项目根据现场实际情况及报审要求进行检测，检测时间以不得影响项目推进进度要求为最低限。提交的报告应满足现行有效的国家、上海市设计规范及标准的要求，且应通过政府部门要求的技术及行政审查。</w:t>
      </w:r>
    </w:p>
    <w:p w14:paraId="04E3208F">
      <w:pPr>
        <w:numPr>
          <w:ilvl w:val="0"/>
          <w:numId w:val="3"/>
        </w:numPr>
        <w:tabs>
          <w:tab w:val="left" w:pos="48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jc w:val="left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评分标准</w:t>
      </w:r>
    </w:p>
    <w:tbl>
      <w:tblPr>
        <w:tblStyle w:val="7"/>
        <w:tblW w:w="7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027"/>
        <w:gridCol w:w="987"/>
        <w:gridCol w:w="4614"/>
      </w:tblGrid>
      <w:tr w14:paraId="1F91F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34" w:type="dxa"/>
            <w:vAlign w:val="center"/>
          </w:tcPr>
          <w:p w14:paraId="315F3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  <w:t>评分项目</w:t>
            </w:r>
          </w:p>
        </w:tc>
        <w:tc>
          <w:tcPr>
            <w:tcW w:w="1027" w:type="dxa"/>
            <w:vAlign w:val="center"/>
          </w:tcPr>
          <w:p w14:paraId="6824D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  <w:t>指标名称</w:t>
            </w:r>
          </w:p>
        </w:tc>
        <w:tc>
          <w:tcPr>
            <w:tcW w:w="987" w:type="dxa"/>
            <w:vAlign w:val="center"/>
          </w:tcPr>
          <w:p w14:paraId="342A2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  <w:tc>
          <w:tcPr>
            <w:tcW w:w="4614" w:type="dxa"/>
            <w:vAlign w:val="center"/>
          </w:tcPr>
          <w:p w14:paraId="4977C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  <w:t>评分细则</w:t>
            </w:r>
          </w:p>
        </w:tc>
      </w:tr>
      <w:tr w14:paraId="54161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4" w:type="dxa"/>
            <w:vMerge w:val="restart"/>
            <w:vAlign w:val="center"/>
          </w:tcPr>
          <w:p w14:paraId="0BA8D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技术部分</w:t>
            </w:r>
          </w:p>
          <w:p w14:paraId="4D9BA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（70分）</w:t>
            </w:r>
          </w:p>
        </w:tc>
        <w:tc>
          <w:tcPr>
            <w:tcW w:w="1027" w:type="dxa"/>
            <w:vAlign w:val="center"/>
          </w:tcPr>
          <w:p w14:paraId="72AC3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公司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业绩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资质</w:t>
            </w:r>
          </w:p>
        </w:tc>
        <w:tc>
          <w:tcPr>
            <w:tcW w:w="987" w:type="dxa"/>
            <w:vAlign w:val="center"/>
          </w:tcPr>
          <w:p w14:paraId="7D85A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0-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</w:p>
        </w:tc>
        <w:tc>
          <w:tcPr>
            <w:tcW w:w="4614" w:type="dxa"/>
            <w:vAlign w:val="center"/>
          </w:tcPr>
          <w:p w14:paraId="0202D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.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公司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每提供类似业绩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，得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，上限5分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；</w:t>
            </w:r>
          </w:p>
        </w:tc>
      </w:tr>
      <w:tr w14:paraId="4EDC2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4" w:type="dxa"/>
            <w:vMerge w:val="continue"/>
            <w:vAlign w:val="center"/>
          </w:tcPr>
          <w:p w14:paraId="65117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 w14:paraId="1C2E7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服务人员配置</w:t>
            </w:r>
          </w:p>
        </w:tc>
        <w:tc>
          <w:tcPr>
            <w:tcW w:w="987" w:type="dxa"/>
            <w:vAlign w:val="center"/>
          </w:tcPr>
          <w:p w14:paraId="76C58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0-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4614" w:type="dxa"/>
            <w:vAlign w:val="center"/>
          </w:tcPr>
          <w:p w14:paraId="13C07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项目负责人具备高级工程师职称且持有对应检测专业资格证书得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分，中级职称 + 资格证书得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分，无相关资质得 0 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2. 核心服务团队中，持有与项目相关有效资格证书的人员≥4 人得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分，2-3 人得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分，1 人得 1 分，0 人得 0 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3. 团队成员近 3 年参与过类似检测项目的人数≥3 人得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分，1-2 人得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分，无相关经验得 0 分；</w:t>
            </w:r>
          </w:p>
        </w:tc>
      </w:tr>
      <w:tr w14:paraId="2C731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4" w:type="dxa"/>
            <w:vMerge w:val="continue"/>
            <w:vAlign w:val="center"/>
          </w:tcPr>
          <w:p w14:paraId="2AE76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 w14:paraId="29CA7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响应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文献编制</w:t>
            </w:r>
          </w:p>
        </w:tc>
        <w:tc>
          <w:tcPr>
            <w:tcW w:w="987" w:type="dxa"/>
            <w:vAlign w:val="center"/>
          </w:tcPr>
          <w:p w14:paraId="563B7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0-5</w:t>
            </w:r>
          </w:p>
        </w:tc>
        <w:tc>
          <w:tcPr>
            <w:tcW w:w="4614" w:type="dxa"/>
            <w:vAlign w:val="center"/>
          </w:tcPr>
          <w:p w14:paraId="14017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装订牢固、目录清晰、逐页编码完整无缺失得 2 分，存在一项不达标扣 1 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2. 响应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比选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文件要求，资料齐全、表格规范、数据准确得 2 分，资料缺失 1 项扣 1 分，表格混乱、数据错误酌情扣 1-2 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3. 文献逻辑清晰、表述严谨、无歧义得 1 分，逻辑混乱、表述模糊酌情扣 0.5-1 分；</w:t>
            </w:r>
          </w:p>
        </w:tc>
      </w:tr>
      <w:tr w14:paraId="20D7C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4" w:type="dxa"/>
            <w:vMerge w:val="continue"/>
            <w:vAlign w:val="center"/>
          </w:tcPr>
          <w:p w14:paraId="14143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 w14:paraId="21136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检测方案</w:t>
            </w:r>
          </w:p>
        </w:tc>
        <w:tc>
          <w:tcPr>
            <w:tcW w:w="987" w:type="dxa"/>
            <w:vAlign w:val="center"/>
          </w:tcPr>
          <w:p w14:paraId="1971B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35</w:t>
            </w:r>
          </w:p>
        </w:tc>
        <w:tc>
          <w:tcPr>
            <w:tcW w:w="4614" w:type="dxa"/>
            <w:vAlign w:val="center"/>
          </w:tcPr>
          <w:p w14:paraId="7C7E1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检测范围全面覆盖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比选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文件要求，无遗漏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检测目的明确、贴合项目实际需求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检测工作内容具体、分工明确，涵盖关键环节；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方法科学合规、技术路线可行，适配项目场景；检测进度安排合理，关键节点清晰、工期可控；质量控制措施完善，包含过程校验、结果复核、异常处理等环节；</w:t>
            </w:r>
          </w:p>
        </w:tc>
      </w:tr>
      <w:tr w14:paraId="43EF1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4" w:type="dxa"/>
            <w:vMerge w:val="continue"/>
            <w:vAlign w:val="center"/>
          </w:tcPr>
          <w:p w14:paraId="039A8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 w14:paraId="3384E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服务能力</w:t>
            </w:r>
          </w:p>
        </w:tc>
        <w:tc>
          <w:tcPr>
            <w:tcW w:w="987" w:type="dxa"/>
            <w:vAlign w:val="center"/>
          </w:tcPr>
          <w:p w14:paraId="3FDF1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0-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15</w:t>
            </w:r>
          </w:p>
        </w:tc>
        <w:tc>
          <w:tcPr>
            <w:tcW w:w="4614" w:type="dxa"/>
            <w:vAlign w:val="center"/>
          </w:tcPr>
          <w:p w14:paraId="1E48FD5E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工作方案实用性强，可直接指导项目实施；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应急响应机制健全，明确突发问题处理流程及时限；提供完善的售后技术支持（含成果解读、后续咨询、问题整改）；服务承诺具体可落地（如成果交付周期、误差率承诺）；</w:t>
            </w:r>
          </w:p>
        </w:tc>
      </w:tr>
      <w:tr w14:paraId="35831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4" w:type="dxa"/>
            <w:vAlign w:val="center"/>
          </w:tcPr>
          <w:p w14:paraId="7113B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价格部分</w:t>
            </w:r>
          </w:p>
          <w:p w14:paraId="7A7EA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（30分）</w:t>
            </w:r>
          </w:p>
        </w:tc>
        <w:tc>
          <w:tcPr>
            <w:tcW w:w="6628" w:type="dxa"/>
            <w:gridSpan w:val="3"/>
            <w:vAlign w:val="center"/>
          </w:tcPr>
          <w:p w14:paraId="0302E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综合评分法中的价格统一采用低价优先计算，即满足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响应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文献规定且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比选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价格最低的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比选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报价作为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比选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基准价，其价格分为满分。</w:t>
            </w:r>
          </w:p>
          <w:p w14:paraId="2CC2A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比选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人的价格分统一按照下列公式计算：</w:t>
            </w:r>
          </w:p>
          <w:p w14:paraId="48D01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比选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报价得分=（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比选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基准价/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比选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价格）*30%*100</w:t>
            </w:r>
          </w:p>
        </w:tc>
      </w:tr>
    </w:tbl>
    <w:p w14:paraId="2CE9AA8A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rPr>
          <w:rFonts w:hint="eastAsia" w:ascii="仿宋_GB2312" w:hAnsi="仿宋_GB2312" w:eastAsia="仿宋_GB2312" w:cs="仿宋_GB2312"/>
          <w:sz w:val="28"/>
          <w:szCs w:val="28"/>
        </w:rPr>
      </w:pPr>
    </w:p>
    <w:p w14:paraId="5A9DD0B6">
      <w:pPr>
        <w:rPr>
          <w:rFonts w:hint="eastAsia" w:ascii="仿宋_GB2312" w:hAnsi="仿宋_GB2312" w:eastAsia="仿宋_GB2312" w:cs="仿宋_GB2312"/>
          <w:sz w:val="28"/>
          <w:szCs w:val="28"/>
        </w:rPr>
      </w:pPr>
      <w:bookmarkStart w:id="3" w:name="_GoBack"/>
      <w:bookmarkEnd w:id="3"/>
    </w:p>
    <w:p w14:paraId="30A0CA2E">
      <w:pPr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6C46EAA">
      <w:pPr>
        <w:snapToGrid w:val="0"/>
        <w:ind w:left="0" w:leftChars="0" w:right="0" w:rightChars="0" w:firstLine="0" w:firstLineChars="0"/>
        <w:jc w:val="right"/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上海外国语大学基建处</w:t>
      </w:r>
    </w:p>
    <w:p w14:paraId="28D63F42">
      <w:pPr>
        <w:snapToGrid w:val="0"/>
        <w:ind w:left="0" w:leftChars="0" w:right="0" w:rightChars="0" w:firstLine="0" w:firstLineChars="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2025年12月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29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7A4382"/>
    <w:multiLevelType w:val="singleLevel"/>
    <w:tmpl w:val="AC7A4382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F1D197C"/>
    <w:multiLevelType w:val="singleLevel"/>
    <w:tmpl w:val="AF1D197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53208E"/>
    <w:multiLevelType w:val="singleLevel"/>
    <w:tmpl w:val="0053208E"/>
    <w:lvl w:ilvl="0" w:tentative="0">
      <w:start w:val="1"/>
      <w:numFmt w:val="decimal"/>
      <w:pStyle w:val="11"/>
      <w:suff w:val="space"/>
      <w:lvlText w:val="第%1章"/>
      <w:lvlJc w:val="left"/>
      <w:rPr>
        <w:rFonts w:hint="default" w:ascii="黑体" w:hAnsi="黑体" w:eastAsia="黑体" w:cs="黑体"/>
        <w:b/>
        <w:i w:val="0"/>
        <w:strike w:val="0"/>
        <w:color w:val="auto"/>
        <w:position w:val="0"/>
        <w:sz w:val="44"/>
        <w:u w:val="none"/>
        <w:shd w:val="clear" w:color="auto" w:fill="auto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91"/>
    <w:rsid w:val="0003088D"/>
    <w:rsid w:val="000D3BD6"/>
    <w:rsid w:val="000D617A"/>
    <w:rsid w:val="0016661D"/>
    <w:rsid w:val="00191622"/>
    <w:rsid w:val="001D15ED"/>
    <w:rsid w:val="002368E5"/>
    <w:rsid w:val="00283299"/>
    <w:rsid w:val="0035775A"/>
    <w:rsid w:val="00397E5A"/>
    <w:rsid w:val="003A419A"/>
    <w:rsid w:val="003B175A"/>
    <w:rsid w:val="004821A6"/>
    <w:rsid w:val="006032D0"/>
    <w:rsid w:val="00654627"/>
    <w:rsid w:val="00676F92"/>
    <w:rsid w:val="007A6991"/>
    <w:rsid w:val="007E320E"/>
    <w:rsid w:val="00931F5D"/>
    <w:rsid w:val="009416F9"/>
    <w:rsid w:val="009816D4"/>
    <w:rsid w:val="00A25C95"/>
    <w:rsid w:val="00BC38F0"/>
    <w:rsid w:val="00DE2F81"/>
    <w:rsid w:val="00E10A78"/>
    <w:rsid w:val="00E42E15"/>
    <w:rsid w:val="00E4721B"/>
    <w:rsid w:val="00E54E16"/>
    <w:rsid w:val="00E55942"/>
    <w:rsid w:val="00FB5632"/>
    <w:rsid w:val="0EA06D76"/>
    <w:rsid w:val="11295C78"/>
    <w:rsid w:val="12310FCC"/>
    <w:rsid w:val="14782D38"/>
    <w:rsid w:val="17190E2C"/>
    <w:rsid w:val="1A591AFF"/>
    <w:rsid w:val="29835EEC"/>
    <w:rsid w:val="3AE35129"/>
    <w:rsid w:val="40416B7A"/>
    <w:rsid w:val="4B671C1C"/>
    <w:rsid w:val="5A5C6618"/>
    <w:rsid w:val="606C3A37"/>
    <w:rsid w:val="6293296B"/>
    <w:rsid w:val="6C5555D7"/>
    <w:rsid w:val="6C590C3F"/>
    <w:rsid w:val="78175E36"/>
    <w:rsid w:val="7B12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="宋体"/>
      <w:kern w:val="0"/>
      <w:sz w:val="24"/>
      <w:szCs w:val="24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qFormat/>
    <w:uiPriority w:val="0"/>
    <w:pPr>
      <w:spacing w:line="240" w:lineRule="auto"/>
      <w:jc w:val="left"/>
    </w:pPr>
    <w:rPr>
      <w:rFonts w:ascii="Times New Roman" w:hAnsi="Times New Roman" w:cs="Times New Roman"/>
      <w:sz w:val="20"/>
      <w:lang w:val="en-US" w:bidi="ar-SA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qFormat/>
    <w:uiPriority w:val="0"/>
    <w:rPr>
      <w:sz w:val="21"/>
      <w:szCs w:val="21"/>
    </w:rPr>
  </w:style>
  <w:style w:type="paragraph" w:customStyle="1" w:styleId="10">
    <w:name w:val="[Normal]"/>
    <w:qFormat/>
    <w:uiPriority w:val="0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宋体" w:hAnsi="宋体" w:eastAsia="宋体" w:cs="宋体"/>
      <w:kern w:val="0"/>
      <w:sz w:val="24"/>
      <w:szCs w:val="24"/>
      <w:lang w:val="zh-CN" w:eastAsia="zh-CN" w:bidi="zh-CN"/>
    </w:rPr>
  </w:style>
  <w:style w:type="paragraph" w:customStyle="1" w:styleId="11">
    <w:name w:val="标题1"/>
    <w:basedOn w:val="10"/>
    <w:qFormat/>
    <w:uiPriority w:val="0"/>
    <w:pPr>
      <w:numPr>
        <w:ilvl w:val="0"/>
        <w:numId w:val="1"/>
      </w:numPr>
      <w:spacing w:before="340" w:after="340" w:line="360" w:lineRule="auto"/>
    </w:pPr>
    <w:rPr>
      <w:rFonts w:ascii="黑体" w:hAnsi="黑体" w:eastAsia="黑体" w:cs="黑体"/>
      <w:b/>
      <w:bCs/>
      <w:sz w:val="44"/>
      <w:szCs w:val="44"/>
    </w:rPr>
  </w:style>
  <w:style w:type="paragraph" w:styleId="12">
    <w:name w:val="List Paragraph"/>
    <w:basedOn w:val="1"/>
    <w:link w:val="15"/>
    <w:qFormat/>
    <w:uiPriority w:val="34"/>
    <w:pPr>
      <w:ind w:firstLine="420"/>
      <w:jc w:val="left"/>
    </w:pPr>
    <w:rPr>
      <w:sz w:val="21"/>
      <w:szCs w:val="21"/>
    </w:rPr>
  </w:style>
  <w:style w:type="character" w:customStyle="1" w:styleId="13">
    <w:name w:val="页眉 字符"/>
    <w:basedOn w:val="8"/>
    <w:link w:val="5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14">
    <w:name w:val="页脚 字符"/>
    <w:basedOn w:val="8"/>
    <w:link w:val="4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15">
    <w:name w:val="列表段落 字符"/>
    <w:link w:val="12"/>
    <w:autoRedefine/>
    <w:qFormat/>
    <w:uiPriority w:val="34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16">
    <w:name w:val="批注文字 字符"/>
    <w:basedOn w:val="8"/>
    <w:link w:val="3"/>
    <w:qFormat/>
    <w:uiPriority w:val="0"/>
    <w:rPr>
      <w:rFonts w:ascii="Times New Roman" w:hAnsi="Times New Roman" w:eastAsia="宋体" w:cs="Times New Roman"/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1633</Words>
  <Characters>1895</Characters>
  <Lines>6</Lines>
  <Paragraphs>1</Paragraphs>
  <TotalTime>15</TotalTime>
  <ScaleCrop>false</ScaleCrop>
  <LinksUpToDate>false</LinksUpToDate>
  <CharactersWithSpaces>2005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2025-12-01T03:20:00Z</dcterms:created>
  <dc:creator>龚建伟</dc:creator>
  <cp:lastModifiedBy>神奇的office</cp:lastModifiedBy>
  <dcterms:modified xsi:type="dcterms:W3CDTF">2025-12-29T07:43:23Z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68689C8D80E348EA9A64F4F57D888260_13</vt:lpwstr>
  </property>
  <property fmtid="{D5CDD505-2E9C-101B-9397-08002B2CF9AE}" pid="4" name="KSOTemplateDocerSaveRecord">
    <vt:lpwstr>eyJoZGlkIjoiZTExNWZmM2FmNTcxZDBhOGUzZDMxZjcyMDJhMTQ5MWIiLCJ1c2VySWQiOiIyOTQ2ODk2MjkifQ==</vt:lpwstr>
  </property>
</Properties>
</file>