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9E660">
      <w:pPr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松江校区学生公寓综合体项目</w:t>
      </w:r>
    </w:p>
    <w:p w14:paraId="48C7F6C6">
      <w:pPr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  <w:lang w:eastAsia="zh-CN"/>
        </w:rPr>
        <w:t>防雷检测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服务</w:t>
      </w:r>
      <w:r>
        <w:rPr>
          <w:rFonts w:hint="eastAsia" w:ascii="宋体" w:hAnsi="宋体" w:eastAsia="宋体"/>
          <w:b/>
          <w:bCs/>
          <w:sz w:val="32"/>
          <w:szCs w:val="32"/>
        </w:rPr>
        <w:t>采购需求</w:t>
      </w:r>
    </w:p>
    <w:p w14:paraId="3A52D42F">
      <w:pPr>
        <w:rPr>
          <w:rFonts w:ascii="宋体" w:hAnsi="宋体" w:eastAsia="宋体"/>
          <w:b/>
          <w:bCs/>
          <w:sz w:val="24"/>
          <w:szCs w:val="24"/>
        </w:rPr>
      </w:pPr>
    </w:p>
    <w:p w14:paraId="16A2E924">
      <w:pPr>
        <w:spacing w:line="360" w:lineRule="auto"/>
        <w:rPr>
          <w:rFonts w:ascii="宋体" w:hAnsi="宋体" w:eastAsia="宋体"/>
          <w:b/>
          <w:bCs/>
          <w:sz w:val="24"/>
          <w:szCs w:val="24"/>
        </w:rPr>
      </w:pPr>
    </w:p>
    <w:p w14:paraId="02D6CA4C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项目概况</w:t>
      </w:r>
    </w:p>
    <w:p w14:paraId="051B6C47">
      <w:pPr>
        <w:widowControl/>
        <w:numPr>
          <w:ilvl w:val="0"/>
          <w:numId w:val="2"/>
        </w:numPr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项目名称：</w:t>
      </w:r>
      <w:bookmarkStart w:id="0" w:name="OLE_LINK3"/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上海外国语大学松江校区学生公寓综合体建设工程</w:t>
      </w:r>
      <w:bookmarkEnd w:id="0"/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 w:bidi="ar"/>
        </w:rPr>
        <w:t>防雷检测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服务</w:t>
      </w:r>
    </w:p>
    <w:p w14:paraId="081588C9"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2、上海外国语大学松江校区学生公寓综合体项目概况：</w:t>
      </w:r>
    </w:p>
    <w:p w14:paraId="3D2D38D7"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（1）建设地点：上海市松江区文翔路1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  <w:t>550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号上海外国语大学松江校区河东区域；</w:t>
      </w:r>
    </w:p>
    <w:p w14:paraId="0AEA52AC"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（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）总建筑面积：4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  <w:t>0,100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平方米；</w:t>
      </w:r>
    </w:p>
    <w:p w14:paraId="5A7256C4"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（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）总投资额：3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  <w:t>1,871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万元，其中建安造价2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  <w:t>7,408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万元；</w:t>
      </w:r>
    </w:p>
    <w:p w14:paraId="6F778593"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（</w:t>
      </w:r>
      <w:r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）工程开工、竣工日期：以实际开工、竣工日期为准。</w:t>
      </w:r>
    </w:p>
    <w:p w14:paraId="44D5BB0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3、主要建设内容：项目用地面积 15671 平方米，地上建筑主要建设内容为学生宿舍、师生活动用房和食堂；地下建筑主要为食堂厨房、人防地下汽车库及设备用房。新建工程总建筑面积约 40100 平方米，其中地上建筑面积 33852.45 平方米，地下建筑面积6247.55平方米。</w:t>
      </w:r>
    </w:p>
    <w:p w14:paraId="7A68EE26"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、项目最高限价：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人民币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叁万陆仟零玖拾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元整（小写：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36090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元</w:t>
      </w:r>
      <w:r>
        <w:rPr>
          <w:rFonts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）</w:t>
      </w:r>
    </w:p>
    <w:p w14:paraId="26852144"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5、项目服务周期：自合同签订后直至完成合同所有内容的工作。</w:t>
      </w:r>
    </w:p>
    <w:p w14:paraId="1AC69AE1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6、合同款项的支付方式、时间、条件：</w:t>
      </w:r>
    </w:p>
    <w:p w14:paraId="57C6089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双方签订合同后，采购方向供应商支付合同总价的30%预付款；</w:t>
      </w:r>
    </w:p>
    <w:p w14:paraId="3C301112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 xml:space="preserve">供应商完成检测，并提供全部检测报告后付清余款； </w:t>
      </w:r>
    </w:p>
    <w:p w14:paraId="5C59F21C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bidi="ar"/>
        </w:rPr>
        <w:t>供应商在足额收到本合同项下全部应付款项后，向采购方出具《项目检测工作成果确认证明》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 w:bidi="ar"/>
        </w:rPr>
        <w:t>。</w:t>
      </w:r>
    </w:p>
    <w:p w14:paraId="01AA1629">
      <w:pPr>
        <w:widowControl/>
        <w:spacing w:line="360" w:lineRule="auto"/>
        <w:jc w:val="left"/>
        <w:rPr>
          <w:rFonts w:ascii="宋体" w:hAnsi="宋体" w:eastAsia="宋体" w:cs="宋体"/>
          <w:color w:val="000000"/>
          <w:kern w:val="0"/>
          <w:sz w:val="24"/>
          <w:szCs w:val="24"/>
          <w:lang w:bidi="ar"/>
        </w:rPr>
      </w:pPr>
    </w:p>
    <w:p w14:paraId="27BD8163">
      <w:pPr>
        <w:widowControl/>
        <w:numPr>
          <w:ilvl w:val="0"/>
          <w:numId w:val="1"/>
        </w:numPr>
        <w:tabs>
          <w:tab w:val="left" w:pos="5305"/>
        </w:tabs>
        <w:spacing w:line="360" w:lineRule="auto"/>
        <w:jc w:val="left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服务范围、内容、标准及要求</w:t>
      </w:r>
    </w:p>
    <w:p w14:paraId="7520CB47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 w:bidi="ar"/>
        </w:rPr>
        <w:t>检测主要包含:基础检测、过程检测、竣工检测。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 w:bidi="ar"/>
        </w:rPr>
        <w:tab/>
      </w:r>
    </w:p>
    <w:p w14:paraId="59AB8893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对防雷装置实施检测，并对其材料、规格、焊接及锈蚀情况进行检查。对建筑物、电器及微电子等设备的防直击雷、防雷电感应、防雷电波侵入及防雷击电磁脉冲的能力进行检测和检查。检测结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 w:bidi="ar"/>
        </w:rPr>
        <w:t>束后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，应提供检测报告并通过有关部门的审核及备案，需要整改的应提供整改意见表。</w:t>
      </w:r>
    </w:p>
    <w:p w14:paraId="1768EA0A">
      <w:pPr>
        <w:widowControl/>
        <w:numPr>
          <w:ilvl w:val="0"/>
          <w:numId w:val="0"/>
        </w:numPr>
        <w:tabs>
          <w:tab w:val="left" w:pos="5305"/>
        </w:tabs>
        <w:spacing w:line="360" w:lineRule="auto"/>
        <w:jc w:val="left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</w:p>
    <w:p w14:paraId="5E8BC006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服务期限</w:t>
      </w:r>
    </w:p>
    <w:p w14:paraId="32529F7D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自合同签订后直至完成合同所有内容的工作。</w:t>
      </w:r>
    </w:p>
    <w:p w14:paraId="7BFFEC04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</w:pPr>
    </w:p>
    <w:p w14:paraId="26BD5B2C">
      <w:pPr>
        <w:widowControl/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bookmarkStart w:id="1" w:name="_Toc531447536"/>
      <w:bookmarkStart w:id="2" w:name="_Toc325979547"/>
      <w:bookmarkStart w:id="3" w:name="_Toc334093665"/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相关</w:t>
      </w:r>
      <w:bookmarkEnd w:id="1"/>
      <w:bookmarkEnd w:id="2"/>
      <w:bookmarkEnd w:id="3"/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执行标准</w:t>
      </w:r>
    </w:p>
    <w:p w14:paraId="5EE77A30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《建筑物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雷电防护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装置检测技术规范》（GB/T21431-20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 w:bidi="ar"/>
        </w:rPr>
        <w:t>；</w:t>
      </w:r>
    </w:p>
    <w:p w14:paraId="23E40712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《建筑物防雷设计规范》（GB50057-2010）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 w:bidi="ar"/>
        </w:rPr>
        <w:t>；</w:t>
      </w:r>
    </w:p>
    <w:p w14:paraId="32D44BF1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《建筑物防雷工程施工与质量验收规范》（GB50601-201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 w:bidi="ar"/>
        </w:rPr>
        <w:t>；</w:t>
      </w:r>
    </w:p>
    <w:p w14:paraId="2E8117D1">
      <w:pPr>
        <w:widowControl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如上述标准被更新，则相应适用更新后的标准。</w:t>
      </w:r>
    </w:p>
    <w:p w14:paraId="71C25FA5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</w:p>
    <w:p w14:paraId="0A8CB97B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bookmarkStart w:id="4" w:name="OLE_LINK11"/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 xml:space="preserve">供应商资格要求 </w:t>
      </w:r>
    </w:p>
    <w:p w14:paraId="4863D2DC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、</w:t>
      </w:r>
      <w:r>
        <w:rPr>
          <w:rFonts w:hint="eastAsia" w:ascii="宋体" w:hAnsi="宋体" w:eastAsia="宋体" w:cs="宋体"/>
          <w:sz w:val="24"/>
        </w:rPr>
        <w:t>具有独立企业法人资格，具有相应经营范围且在有效期内的营业执照。</w:t>
      </w:r>
    </w:p>
    <w:p w14:paraId="389D1E29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、</w:t>
      </w:r>
      <w:r>
        <w:rPr>
          <w:rFonts w:hint="eastAsia" w:ascii="宋体" w:hAnsi="宋体" w:eastAsia="宋体" w:cs="宋体"/>
          <w:sz w:val="24"/>
        </w:rPr>
        <w:t>本项目不接受联合体报名，禁止转包、分包。</w:t>
      </w:r>
    </w:p>
    <w:p w14:paraId="75446B44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bidi="ar"/>
        </w:rPr>
        <w:t>、</w:t>
      </w:r>
      <w:r>
        <w:rPr>
          <w:rFonts w:hint="eastAsia" w:ascii="宋体" w:hAnsi="宋体" w:eastAsia="宋体" w:cs="宋体"/>
          <w:sz w:val="24"/>
        </w:rPr>
        <w:t>单位负责人为同一人或存在直接控股、管理关系的不同供应商，不得参加同一合同项下的采购活动。</w:t>
      </w:r>
      <w:bookmarkEnd w:id="4"/>
      <w:bookmarkStart w:id="5" w:name="_Toc531447556"/>
    </w:p>
    <w:p w14:paraId="0569E74A">
      <w:pPr>
        <w:spacing w:line="360" w:lineRule="auto"/>
        <w:rPr>
          <w:rFonts w:hint="eastAsia" w:ascii="宋体" w:hAnsi="宋体" w:eastAsia="宋体" w:cs="宋体"/>
          <w:sz w:val="24"/>
        </w:rPr>
      </w:pPr>
    </w:p>
    <w:bookmarkEnd w:id="5"/>
    <w:p w14:paraId="5CD3FD66">
      <w:pPr>
        <w:widowControl/>
        <w:numPr>
          <w:ilvl w:val="0"/>
          <w:numId w:val="1"/>
        </w:numPr>
        <w:spacing w:line="360" w:lineRule="auto"/>
        <w:jc w:val="left"/>
        <w:rPr>
          <w:b/>
          <w:bCs/>
          <w:color w:val="000000"/>
          <w:sz w:val="28"/>
          <w:szCs w:val="28"/>
          <w:lang w:val="en-US" w:bidi="ar"/>
        </w:rPr>
      </w:pPr>
      <w:r>
        <w:rPr>
          <w:rFonts w:hint="eastAsia"/>
          <w:b/>
          <w:bCs/>
          <w:color w:val="000000"/>
          <w:sz w:val="28"/>
          <w:szCs w:val="28"/>
          <w:lang w:val="en-US" w:bidi="ar"/>
        </w:rPr>
        <w:t>商务评审：（0分至</w:t>
      </w:r>
      <w:r>
        <w:rPr>
          <w:rFonts w:hint="eastAsia"/>
          <w:b/>
          <w:bCs/>
          <w:color w:val="000000"/>
          <w:sz w:val="28"/>
          <w:szCs w:val="28"/>
          <w:lang w:val="en-US" w:eastAsia="zh-CN" w:bidi="ar"/>
        </w:rPr>
        <w:t>3</w:t>
      </w:r>
      <w:r>
        <w:rPr>
          <w:rFonts w:hint="eastAsia"/>
          <w:b/>
          <w:bCs/>
          <w:color w:val="000000"/>
          <w:sz w:val="28"/>
          <w:szCs w:val="28"/>
          <w:lang w:val="en-US" w:bidi="ar"/>
        </w:rPr>
        <w:t>0分）</w:t>
      </w:r>
    </w:p>
    <w:tbl>
      <w:tblPr>
        <w:tblStyle w:val="18"/>
        <w:tblW w:w="9383" w:type="dxa"/>
        <w:tblInd w:w="-389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114" w:type="dxa"/>
          <w:left w:w="115" w:type="dxa"/>
          <w:bottom w:w="0" w:type="dxa"/>
          <w:right w:w="115" w:type="dxa"/>
        </w:tblCellMar>
      </w:tblPr>
      <w:tblGrid>
        <w:gridCol w:w="1917"/>
        <w:gridCol w:w="6200"/>
        <w:gridCol w:w="1266"/>
      </w:tblGrid>
      <w:tr w14:paraId="07ABD6F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114" w:type="dxa"/>
            <w:left w:w="115" w:type="dxa"/>
            <w:bottom w:w="0" w:type="dxa"/>
            <w:right w:w="115" w:type="dxa"/>
          </w:tblCellMar>
        </w:tblPrEx>
        <w:trPr>
          <w:tblHeader/>
        </w:trPr>
        <w:tc>
          <w:tcPr>
            <w:tcW w:w="1917" w:type="dxa"/>
            <w:vAlign w:val="center"/>
          </w:tcPr>
          <w:p w14:paraId="4BAD08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instrText xml:space="preserve"> MERGEFIELD MF_TB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t>评审因素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end"/>
            </w:r>
          </w:p>
        </w:tc>
        <w:tc>
          <w:tcPr>
            <w:tcW w:w="6200" w:type="dxa"/>
            <w:vAlign w:val="center"/>
          </w:tcPr>
          <w:p w14:paraId="483B270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instrText xml:space="preserve"> MERGEFIELD MF_TB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t>评审因素细分项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end"/>
            </w:r>
          </w:p>
        </w:tc>
        <w:tc>
          <w:tcPr>
            <w:tcW w:w="1266" w:type="dxa"/>
            <w:vAlign w:val="center"/>
          </w:tcPr>
          <w:p w14:paraId="205569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instrText xml:space="preserve"> MERGEFIELD MF_TB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t>分值区间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end"/>
            </w:r>
          </w:p>
        </w:tc>
      </w:tr>
      <w:tr w14:paraId="5ADACD5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114" w:type="dxa"/>
            <w:left w:w="115" w:type="dxa"/>
            <w:bottom w:w="0" w:type="dxa"/>
            <w:right w:w="115" w:type="dxa"/>
          </w:tblCellMar>
        </w:tblPrEx>
        <w:tc>
          <w:tcPr>
            <w:tcW w:w="1917" w:type="dxa"/>
            <w:vAlign w:val="center"/>
          </w:tcPr>
          <w:p w14:paraId="666280E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t>商务标评审</w:t>
            </w:r>
          </w:p>
        </w:tc>
        <w:tc>
          <w:tcPr>
            <w:tcW w:w="6200" w:type="dxa"/>
            <w:vAlign w:val="center"/>
          </w:tcPr>
          <w:p w14:paraId="6BF7AFC0">
            <w:pPr>
              <w:rPr>
                <w:rFonts w:hint="eastAsia" w:ascii="宋体" w:hAnsi="宋体" w:eastAsia="宋体" w:cs="宋体"/>
                <w:sz w:val="24"/>
                <w:szCs w:val="24"/>
                <w:lang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满足比选文件要求且比选价格最低的比选报价为基准价，其价格分为满分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分。其他比选人的比选报价得分计算公式如下：比选报价得分=(评标基准价／比选报价)×价格权值×100。</w:t>
            </w:r>
          </w:p>
        </w:tc>
        <w:tc>
          <w:tcPr>
            <w:tcW w:w="1266" w:type="dxa"/>
            <w:vAlign w:val="center"/>
          </w:tcPr>
          <w:p w14:paraId="181E3B6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bidi="en-US"/>
              </w:rPr>
              <w:t>0-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en-US"/>
              </w:rPr>
              <w:t>30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t>分</w:t>
            </w:r>
          </w:p>
        </w:tc>
      </w:tr>
    </w:tbl>
    <w:p w14:paraId="17046F67">
      <w:pPr>
        <w:tabs>
          <w:tab w:val="left" w:pos="7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</w:tabs>
        <w:rPr>
          <w:rFonts w:ascii="宋体" w:hAnsi="宋体" w:eastAsia="宋体"/>
          <w:b/>
          <w:lang w:eastAsia="en-US" w:bidi="en-US"/>
        </w:rPr>
      </w:pPr>
    </w:p>
    <w:p w14:paraId="2032925E">
      <w:pPr>
        <w:widowControl/>
        <w:numPr>
          <w:ilvl w:val="0"/>
          <w:numId w:val="1"/>
        </w:numPr>
        <w:spacing w:line="360" w:lineRule="auto"/>
        <w:jc w:val="left"/>
        <w:rPr>
          <w:b/>
          <w:bCs/>
          <w:color w:val="000000"/>
          <w:sz w:val="28"/>
          <w:szCs w:val="28"/>
          <w:lang w:val="en-US" w:bidi="ar"/>
        </w:rPr>
      </w:pPr>
      <w:r>
        <w:rPr>
          <w:rFonts w:hint="eastAsia"/>
          <w:b/>
          <w:bCs/>
          <w:color w:val="000000"/>
          <w:sz w:val="28"/>
          <w:szCs w:val="28"/>
          <w:lang w:val="en-US" w:bidi="ar"/>
        </w:rPr>
        <w:t>技术标评审（0分至</w:t>
      </w:r>
      <w:r>
        <w:rPr>
          <w:rFonts w:hint="eastAsia"/>
          <w:b/>
          <w:bCs/>
          <w:color w:val="000000"/>
          <w:sz w:val="28"/>
          <w:szCs w:val="28"/>
          <w:lang w:val="en-US" w:eastAsia="zh-CN" w:bidi="ar"/>
        </w:rPr>
        <w:t>7</w:t>
      </w:r>
      <w:r>
        <w:rPr>
          <w:rFonts w:hint="eastAsia"/>
          <w:b/>
          <w:bCs/>
          <w:color w:val="000000"/>
          <w:sz w:val="28"/>
          <w:szCs w:val="28"/>
          <w:lang w:val="en-US" w:bidi="ar"/>
        </w:rPr>
        <w:t>0分）</w:t>
      </w:r>
    </w:p>
    <w:tbl>
      <w:tblPr>
        <w:tblStyle w:val="18"/>
        <w:tblW w:w="9417" w:type="dxa"/>
        <w:tblInd w:w="-389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114" w:type="dxa"/>
          <w:left w:w="115" w:type="dxa"/>
          <w:bottom w:w="0" w:type="dxa"/>
          <w:right w:w="115" w:type="dxa"/>
        </w:tblCellMar>
      </w:tblPr>
      <w:tblGrid>
        <w:gridCol w:w="1883"/>
        <w:gridCol w:w="6200"/>
        <w:gridCol w:w="1334"/>
      </w:tblGrid>
      <w:tr w14:paraId="34D561E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114" w:type="dxa"/>
            <w:left w:w="115" w:type="dxa"/>
            <w:bottom w:w="0" w:type="dxa"/>
            <w:right w:w="115" w:type="dxa"/>
          </w:tblCellMar>
        </w:tblPrEx>
        <w:trPr>
          <w:tblHeader/>
        </w:trPr>
        <w:tc>
          <w:tcPr>
            <w:tcW w:w="1883" w:type="dxa"/>
            <w:vAlign w:val="center"/>
          </w:tcPr>
          <w:p w14:paraId="4F25F2B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instrText xml:space="preserve"> MERGEFIELD MF_TB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t>评审因素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end"/>
            </w:r>
          </w:p>
        </w:tc>
        <w:tc>
          <w:tcPr>
            <w:tcW w:w="6200" w:type="dxa"/>
            <w:vAlign w:val="center"/>
          </w:tcPr>
          <w:p w14:paraId="7DDD5D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instrText xml:space="preserve"> MERGEFIELD MF_TB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t>评审因素细分项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end"/>
            </w:r>
          </w:p>
        </w:tc>
        <w:tc>
          <w:tcPr>
            <w:tcW w:w="1334" w:type="dxa"/>
            <w:vAlign w:val="center"/>
          </w:tcPr>
          <w:p w14:paraId="304A7E2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instrText xml:space="preserve"> MERGEFIELD MF_TB </w:instrTex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t>分值区间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en-US" w:bidi="en-US"/>
              </w:rPr>
              <w:fldChar w:fldCharType="end"/>
            </w:r>
          </w:p>
        </w:tc>
      </w:tr>
      <w:tr w14:paraId="22C51C7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114" w:type="dxa"/>
            <w:left w:w="115" w:type="dxa"/>
            <w:bottom w:w="0" w:type="dxa"/>
            <w:right w:w="115" w:type="dxa"/>
          </w:tblCellMar>
        </w:tblPrEx>
        <w:trPr>
          <w:trHeight w:val="847" w:hRule="atLeast"/>
        </w:trPr>
        <w:tc>
          <w:tcPr>
            <w:tcW w:w="1883" w:type="dxa"/>
            <w:vMerge w:val="restart"/>
            <w:vAlign w:val="center"/>
          </w:tcPr>
          <w:p w14:paraId="791896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en-US"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en-US" w:bidi="en-US"/>
              </w:rPr>
              <w:t>技术标评审</w:t>
            </w:r>
          </w:p>
        </w:tc>
        <w:tc>
          <w:tcPr>
            <w:tcW w:w="6200" w:type="dxa"/>
            <w:vAlign w:val="center"/>
          </w:tcPr>
          <w:p w14:paraId="0291D665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服务方案编制要求符合可靠、经济原则（方案完整规范、针对性强、满足项目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防雷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验收需求的得8~10分，基本完整、满足验收需求的得4~7分，未提供或内容较不完善的得0~3分。服务设备满足检测需求的得4~5分，未提供或内容较不完善的得0~3分。）</w:t>
            </w:r>
          </w:p>
          <w:p w14:paraId="21608F46"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en-US"/>
              </w:rPr>
            </w:pPr>
          </w:p>
        </w:tc>
        <w:tc>
          <w:tcPr>
            <w:tcW w:w="1334" w:type="dxa"/>
            <w:vAlign w:val="center"/>
          </w:tcPr>
          <w:p w14:paraId="1B3A33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en-US"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en-US"/>
              </w:rPr>
              <w:t>0-15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en-US" w:bidi="en-US"/>
              </w:rPr>
              <w:t>分</w:t>
            </w:r>
          </w:p>
        </w:tc>
      </w:tr>
      <w:tr w14:paraId="1A47DEC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114" w:type="dxa"/>
            <w:left w:w="115" w:type="dxa"/>
            <w:bottom w:w="0" w:type="dxa"/>
            <w:right w:w="115" w:type="dxa"/>
          </w:tblCellMar>
        </w:tblPrEx>
        <w:trPr>
          <w:trHeight w:val="589" w:hRule="atLeast"/>
        </w:trPr>
        <w:tc>
          <w:tcPr>
            <w:tcW w:w="1883" w:type="dxa"/>
            <w:vMerge w:val="continue"/>
            <w:vAlign w:val="center"/>
          </w:tcPr>
          <w:p w14:paraId="7EE2CC09">
            <w:pPr>
              <w:pStyle w:val="43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6200" w:type="dxa"/>
            <w:vAlign w:val="center"/>
          </w:tcPr>
          <w:p w14:paraId="5DBA734C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检测人员配备（配备专职检测人员不少于5人且持证率为100%的得11~15分，配备专职检测人员不少于3人且持证率不低于80%的得6~10分，配备专职检测人员不足3人或持证率低于60%的得0~5分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。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)</w:t>
            </w:r>
          </w:p>
        </w:tc>
        <w:tc>
          <w:tcPr>
            <w:tcW w:w="1334" w:type="dxa"/>
            <w:vAlign w:val="center"/>
          </w:tcPr>
          <w:p w14:paraId="54E6188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en-US"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en-US"/>
              </w:rPr>
              <w:t>0-15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en-US" w:bidi="en-US"/>
              </w:rPr>
              <w:t>分</w:t>
            </w:r>
          </w:p>
        </w:tc>
      </w:tr>
      <w:tr w14:paraId="65CA926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114" w:type="dxa"/>
            <w:left w:w="115" w:type="dxa"/>
            <w:bottom w:w="0" w:type="dxa"/>
            <w:right w:w="115" w:type="dxa"/>
          </w:tblCellMar>
        </w:tblPrEx>
        <w:trPr>
          <w:trHeight w:val="375" w:hRule="atLeast"/>
        </w:trPr>
        <w:tc>
          <w:tcPr>
            <w:tcW w:w="1883" w:type="dxa"/>
            <w:vMerge w:val="continue"/>
            <w:vAlign w:val="center"/>
          </w:tcPr>
          <w:p w14:paraId="523ACCDD">
            <w:pPr>
              <w:pStyle w:val="43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6200" w:type="dxa"/>
            <w:tcBorders>
              <w:bottom w:val="single" w:color="auto" w:sz="4" w:space="0"/>
            </w:tcBorders>
            <w:vAlign w:val="center"/>
          </w:tcPr>
          <w:p w14:paraId="34D22030"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服务质量保障措施及服务承诺（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质量保证措施科学、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服务承诺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可行、全面的得8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~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10分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，基本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可行得4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~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7分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，未提供或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质量保证措施较差的得0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~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3分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。）</w:t>
            </w:r>
          </w:p>
        </w:tc>
        <w:tc>
          <w:tcPr>
            <w:tcW w:w="1334" w:type="dxa"/>
            <w:tcBorders>
              <w:bottom w:val="single" w:color="auto" w:sz="4" w:space="0"/>
            </w:tcBorders>
            <w:vAlign w:val="center"/>
          </w:tcPr>
          <w:p w14:paraId="7C29AC7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en-US"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en-US"/>
              </w:rPr>
              <w:t>0-10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en-US" w:bidi="en-US"/>
              </w:rPr>
              <w:t>分</w:t>
            </w:r>
          </w:p>
        </w:tc>
      </w:tr>
      <w:tr w14:paraId="67F678A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114" w:type="dxa"/>
            <w:left w:w="115" w:type="dxa"/>
            <w:bottom w:w="0" w:type="dxa"/>
            <w:right w:w="115" w:type="dxa"/>
          </w:tblCellMar>
        </w:tblPrEx>
        <w:trPr>
          <w:trHeight w:val="711" w:hRule="atLeast"/>
        </w:trPr>
        <w:tc>
          <w:tcPr>
            <w:tcW w:w="1883" w:type="dxa"/>
            <w:vMerge w:val="continue"/>
            <w:vAlign w:val="center"/>
          </w:tcPr>
          <w:p w14:paraId="275F1106">
            <w:pPr>
              <w:pStyle w:val="43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6200" w:type="dxa"/>
            <w:vAlign w:val="center"/>
          </w:tcPr>
          <w:p w14:paraId="051CCEFA"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本项目重难点分析及合理化建议（对本项目的理解及重点难点分析全面、可行、有针对性的得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~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10分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，一般的得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~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7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分，未提供或内容不完善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得0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~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3分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。）</w:t>
            </w:r>
          </w:p>
        </w:tc>
        <w:tc>
          <w:tcPr>
            <w:tcW w:w="1334" w:type="dxa"/>
            <w:vAlign w:val="center"/>
          </w:tcPr>
          <w:p w14:paraId="3D3CFE5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en-US"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en-US"/>
              </w:rPr>
              <w:t>0-10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en-US" w:bidi="en-US"/>
              </w:rPr>
              <w:t>分</w:t>
            </w:r>
          </w:p>
        </w:tc>
      </w:tr>
      <w:tr w14:paraId="47BF7D9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114" w:type="dxa"/>
            <w:left w:w="115" w:type="dxa"/>
            <w:bottom w:w="0" w:type="dxa"/>
            <w:right w:w="115" w:type="dxa"/>
          </w:tblCellMar>
        </w:tblPrEx>
        <w:trPr>
          <w:trHeight w:val="711" w:hRule="atLeast"/>
        </w:trPr>
        <w:tc>
          <w:tcPr>
            <w:tcW w:w="1883" w:type="dxa"/>
            <w:vMerge w:val="continue"/>
            <w:vAlign w:val="center"/>
          </w:tcPr>
          <w:p w14:paraId="04D26F04">
            <w:pPr>
              <w:pStyle w:val="43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6200" w:type="dxa"/>
            <w:vAlign w:val="center"/>
          </w:tcPr>
          <w:p w14:paraId="28FF4A5C"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公司具备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雷电防护装置检测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资质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甲级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证书，得5分，未满足不得分。近3年无重大质量事故、行政处罚或行业通报批评，得5分，未满足不得分。</w:t>
            </w:r>
          </w:p>
        </w:tc>
        <w:tc>
          <w:tcPr>
            <w:tcW w:w="1334" w:type="dxa"/>
            <w:vAlign w:val="center"/>
          </w:tcPr>
          <w:p w14:paraId="52A1621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en-US"/>
              </w:rPr>
              <w:t>0-10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en-US" w:bidi="en-US"/>
              </w:rPr>
              <w:t>分</w:t>
            </w:r>
          </w:p>
        </w:tc>
      </w:tr>
      <w:tr w14:paraId="2D9BDE0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114" w:type="dxa"/>
            <w:left w:w="115" w:type="dxa"/>
            <w:bottom w:w="0" w:type="dxa"/>
            <w:right w:w="115" w:type="dxa"/>
          </w:tblCellMar>
        </w:tblPrEx>
        <w:trPr>
          <w:trHeight w:val="711" w:hRule="atLeast"/>
        </w:trPr>
        <w:tc>
          <w:tcPr>
            <w:tcW w:w="1883" w:type="dxa"/>
            <w:vMerge w:val="continue"/>
            <w:vAlign w:val="center"/>
          </w:tcPr>
          <w:p w14:paraId="437E033E">
            <w:pPr>
              <w:pStyle w:val="43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6200" w:type="dxa"/>
            <w:vAlign w:val="center"/>
          </w:tcPr>
          <w:p w14:paraId="5940041D">
            <w:pP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类似项目业绩（根据近三年类似项目业绩进行评审，是否属于有效的类似项目业绩由评审委员会认定，每提供1个得2分，最多得10分。提供业绩证明（以合同复印件为准，时间以合同签订日期为准）</w:t>
            </w:r>
            <w:bookmarkStart w:id="6" w:name="_GoBack"/>
            <w:bookmarkEnd w:id="6"/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1334" w:type="dxa"/>
            <w:vAlign w:val="center"/>
          </w:tcPr>
          <w:p w14:paraId="6CC12F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en-US"/>
              </w:rPr>
              <w:t>0-10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en-US" w:bidi="en-US"/>
              </w:rPr>
              <w:t>分</w:t>
            </w:r>
          </w:p>
        </w:tc>
      </w:tr>
    </w:tbl>
    <w:p w14:paraId="6E82F788">
      <w:pPr>
        <w:widowControl/>
        <w:spacing w:after="160" w:line="278" w:lineRule="auto"/>
        <w:jc w:val="left"/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D95CA9"/>
    <w:multiLevelType w:val="singleLevel"/>
    <w:tmpl w:val="ABD95CA9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8F228BD"/>
    <w:multiLevelType w:val="singleLevel"/>
    <w:tmpl w:val="28F228B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FA"/>
    <w:rsid w:val="0009075B"/>
    <w:rsid w:val="001D365D"/>
    <w:rsid w:val="0020643C"/>
    <w:rsid w:val="002C004C"/>
    <w:rsid w:val="0031511A"/>
    <w:rsid w:val="00325C4D"/>
    <w:rsid w:val="005A7AF3"/>
    <w:rsid w:val="006006A3"/>
    <w:rsid w:val="006741C4"/>
    <w:rsid w:val="007A51B4"/>
    <w:rsid w:val="007D4594"/>
    <w:rsid w:val="00866335"/>
    <w:rsid w:val="00885D23"/>
    <w:rsid w:val="008D1E44"/>
    <w:rsid w:val="00B31AC3"/>
    <w:rsid w:val="00BB3085"/>
    <w:rsid w:val="00D03026"/>
    <w:rsid w:val="00E23A67"/>
    <w:rsid w:val="00E820FA"/>
    <w:rsid w:val="00EA2847"/>
    <w:rsid w:val="00FA3E06"/>
    <w:rsid w:val="0147153B"/>
    <w:rsid w:val="02083BFD"/>
    <w:rsid w:val="02447828"/>
    <w:rsid w:val="02B524D4"/>
    <w:rsid w:val="02C62933"/>
    <w:rsid w:val="04D53301"/>
    <w:rsid w:val="04E13A54"/>
    <w:rsid w:val="05F477B7"/>
    <w:rsid w:val="06F757B1"/>
    <w:rsid w:val="0730481F"/>
    <w:rsid w:val="07747F4A"/>
    <w:rsid w:val="092B7994"/>
    <w:rsid w:val="0AC105A6"/>
    <w:rsid w:val="0C713D69"/>
    <w:rsid w:val="0CA041F5"/>
    <w:rsid w:val="0D370D05"/>
    <w:rsid w:val="0F661726"/>
    <w:rsid w:val="0F713C26"/>
    <w:rsid w:val="0F9F5A5C"/>
    <w:rsid w:val="1054330C"/>
    <w:rsid w:val="12A367ED"/>
    <w:rsid w:val="1305241F"/>
    <w:rsid w:val="134E6759"/>
    <w:rsid w:val="149F2FE4"/>
    <w:rsid w:val="15B14D7D"/>
    <w:rsid w:val="162D2458"/>
    <w:rsid w:val="17DF02C7"/>
    <w:rsid w:val="17FA6EAF"/>
    <w:rsid w:val="18C76DEE"/>
    <w:rsid w:val="19713243"/>
    <w:rsid w:val="19B206A5"/>
    <w:rsid w:val="1B210BF7"/>
    <w:rsid w:val="1C4C30B4"/>
    <w:rsid w:val="1C7B7E93"/>
    <w:rsid w:val="1D04432C"/>
    <w:rsid w:val="1E330879"/>
    <w:rsid w:val="1E4A0464"/>
    <w:rsid w:val="1E8A6629"/>
    <w:rsid w:val="1EFF124F"/>
    <w:rsid w:val="1FE2748A"/>
    <w:rsid w:val="21787096"/>
    <w:rsid w:val="21A659B2"/>
    <w:rsid w:val="21B75E11"/>
    <w:rsid w:val="227E692E"/>
    <w:rsid w:val="23144B9D"/>
    <w:rsid w:val="233C481F"/>
    <w:rsid w:val="245A2A83"/>
    <w:rsid w:val="25096983"/>
    <w:rsid w:val="25F0544D"/>
    <w:rsid w:val="2705317A"/>
    <w:rsid w:val="27AB7A4E"/>
    <w:rsid w:val="286E6AFD"/>
    <w:rsid w:val="293D7D2C"/>
    <w:rsid w:val="2A9211C9"/>
    <w:rsid w:val="2B585F6F"/>
    <w:rsid w:val="2C7A6134"/>
    <w:rsid w:val="2E67471B"/>
    <w:rsid w:val="2F11484F"/>
    <w:rsid w:val="2F2148C9"/>
    <w:rsid w:val="2F364819"/>
    <w:rsid w:val="2F5E78CC"/>
    <w:rsid w:val="2FA7474E"/>
    <w:rsid w:val="30BD0622"/>
    <w:rsid w:val="32D560F7"/>
    <w:rsid w:val="32FA55E0"/>
    <w:rsid w:val="332C27C3"/>
    <w:rsid w:val="361909F0"/>
    <w:rsid w:val="37313B18"/>
    <w:rsid w:val="373832E3"/>
    <w:rsid w:val="37A61E10"/>
    <w:rsid w:val="380354B4"/>
    <w:rsid w:val="38E70932"/>
    <w:rsid w:val="39447B32"/>
    <w:rsid w:val="3995038E"/>
    <w:rsid w:val="399A1E48"/>
    <w:rsid w:val="3A045513"/>
    <w:rsid w:val="3A43428E"/>
    <w:rsid w:val="3AA840F1"/>
    <w:rsid w:val="3C8841DA"/>
    <w:rsid w:val="3E42660A"/>
    <w:rsid w:val="401364B0"/>
    <w:rsid w:val="40CE4185"/>
    <w:rsid w:val="427C658F"/>
    <w:rsid w:val="44AD32C1"/>
    <w:rsid w:val="45C269AF"/>
    <w:rsid w:val="46C025FF"/>
    <w:rsid w:val="481608EC"/>
    <w:rsid w:val="48835F01"/>
    <w:rsid w:val="49702002"/>
    <w:rsid w:val="4A6A3171"/>
    <w:rsid w:val="4C547C35"/>
    <w:rsid w:val="4C714C8A"/>
    <w:rsid w:val="4D1D271C"/>
    <w:rsid w:val="4DBD6FC4"/>
    <w:rsid w:val="4DD747A8"/>
    <w:rsid w:val="4EFD0A57"/>
    <w:rsid w:val="51F7178E"/>
    <w:rsid w:val="54646E83"/>
    <w:rsid w:val="54815C87"/>
    <w:rsid w:val="54ED50CA"/>
    <w:rsid w:val="55B1434A"/>
    <w:rsid w:val="55FA184D"/>
    <w:rsid w:val="56527629"/>
    <w:rsid w:val="56A30136"/>
    <w:rsid w:val="575E405D"/>
    <w:rsid w:val="584E7C2E"/>
    <w:rsid w:val="587541B3"/>
    <w:rsid w:val="5888429A"/>
    <w:rsid w:val="5B21787C"/>
    <w:rsid w:val="5B465534"/>
    <w:rsid w:val="5B8A08D0"/>
    <w:rsid w:val="5B8E5344"/>
    <w:rsid w:val="5C2E04A2"/>
    <w:rsid w:val="5D0B433F"/>
    <w:rsid w:val="5E0019CA"/>
    <w:rsid w:val="5EEB1EC9"/>
    <w:rsid w:val="5F816B3B"/>
    <w:rsid w:val="5FD01870"/>
    <w:rsid w:val="60F35816"/>
    <w:rsid w:val="61A539C2"/>
    <w:rsid w:val="62AF1C11"/>
    <w:rsid w:val="62F933A7"/>
    <w:rsid w:val="641A773C"/>
    <w:rsid w:val="65A939DC"/>
    <w:rsid w:val="66030B7B"/>
    <w:rsid w:val="66BB5028"/>
    <w:rsid w:val="66D7717D"/>
    <w:rsid w:val="67825B46"/>
    <w:rsid w:val="6784541A"/>
    <w:rsid w:val="67F04061"/>
    <w:rsid w:val="68BD1B3F"/>
    <w:rsid w:val="68E82F6A"/>
    <w:rsid w:val="69601EB7"/>
    <w:rsid w:val="6AF64881"/>
    <w:rsid w:val="6BEE5558"/>
    <w:rsid w:val="6CC24944"/>
    <w:rsid w:val="6E6E4063"/>
    <w:rsid w:val="6F4B6983"/>
    <w:rsid w:val="6FF9096F"/>
    <w:rsid w:val="70117A67"/>
    <w:rsid w:val="71E371E1"/>
    <w:rsid w:val="746F7F51"/>
    <w:rsid w:val="74DD616A"/>
    <w:rsid w:val="75EC44CD"/>
    <w:rsid w:val="75FB0F9D"/>
    <w:rsid w:val="76585078"/>
    <w:rsid w:val="768E02FD"/>
    <w:rsid w:val="77F35CA4"/>
    <w:rsid w:val="7B9D48A5"/>
    <w:rsid w:val="7C9F44B8"/>
    <w:rsid w:val="7D636880"/>
    <w:rsid w:val="7D913F95"/>
    <w:rsid w:val="7DA1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45"/>
    <w:unhideWhenUsed/>
    <w:qFormat/>
    <w:uiPriority w:val="99"/>
    <w:pPr>
      <w:jc w:val="left"/>
    </w:pPr>
  </w:style>
  <w:style w:type="paragraph" w:styleId="12">
    <w:name w:val="Body Text"/>
    <w:basedOn w:val="1"/>
    <w:link w:val="40"/>
    <w:qFormat/>
    <w:uiPriority w:val="1"/>
    <w:pPr>
      <w:autoSpaceDE w:val="0"/>
      <w:autoSpaceDN w:val="0"/>
      <w:adjustRightInd w:val="0"/>
      <w:jc w:val="left"/>
    </w:pPr>
    <w:rPr>
      <w:rFonts w:ascii="宋体" w:hAnsi="Times New Roman" w:eastAsia="宋体" w:cs="宋体"/>
      <w:kern w:val="0"/>
      <w:sz w:val="28"/>
      <w:szCs w:val="28"/>
      <w14:ligatures w14:val="standardContextual"/>
    </w:rPr>
  </w:style>
  <w:style w:type="paragraph" w:styleId="1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Subtitle"/>
    <w:basedOn w:val="1"/>
    <w:next w:val="1"/>
    <w:link w:val="32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3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annotation subject"/>
    <w:basedOn w:val="11"/>
    <w:next w:val="11"/>
    <w:link w:val="46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annotation reference"/>
    <w:qFormat/>
    <w:uiPriority w:val="99"/>
    <w:rPr>
      <w:sz w:val="21"/>
      <w:szCs w:val="21"/>
    </w:rPr>
  </w:style>
  <w:style w:type="character" w:customStyle="1" w:styleId="22">
    <w:name w:val="Heading 1 Char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3">
    <w:name w:val="Heading 2 Char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Heading 3 Char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Heading 4 Char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6">
    <w:name w:val="Heading 5 Char"/>
    <w:basedOn w:val="20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7">
    <w:name w:val="Heading 6 Char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Heading 7 Char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Heading 8 Char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Heading 9 Char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Title Char"/>
    <w:basedOn w:val="20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Subtitle Char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Quote Char"/>
    <w:basedOn w:val="20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link w:val="41"/>
    <w:qFormat/>
    <w:uiPriority w:val="0"/>
    <w:pPr>
      <w:ind w:left="720"/>
      <w:contextualSpacing/>
    </w:pPr>
  </w:style>
  <w:style w:type="character" w:customStyle="1" w:styleId="36">
    <w:name w:val="Intense Emphasis1"/>
    <w:basedOn w:val="20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Intense Quote Char"/>
    <w:basedOn w:val="20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Intense Reference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Body Text Char"/>
    <w:basedOn w:val="20"/>
    <w:link w:val="12"/>
    <w:qFormat/>
    <w:uiPriority w:val="1"/>
    <w:rPr>
      <w:rFonts w:ascii="宋体" w:hAnsi="Times New Roman" w:eastAsia="宋体" w:cs="宋体"/>
      <w:kern w:val="0"/>
      <w:sz w:val="28"/>
      <w:szCs w:val="28"/>
    </w:rPr>
  </w:style>
  <w:style w:type="character" w:customStyle="1" w:styleId="41">
    <w:name w:val="List Paragraph Char"/>
    <w:link w:val="35"/>
    <w:qFormat/>
    <w:uiPriority w:val="0"/>
    <w:rPr>
      <w:sz w:val="21"/>
      <w:szCs w:val="22"/>
      <w14:ligatures w14:val="none"/>
    </w:rPr>
  </w:style>
  <w:style w:type="paragraph" w:customStyle="1" w:styleId="42">
    <w:name w:val="正文文字1"/>
    <w:basedOn w:val="12"/>
    <w:qFormat/>
    <w:uiPriority w:val="0"/>
    <w:pPr>
      <w:autoSpaceDE/>
      <w:autoSpaceDN/>
      <w:spacing w:line="360" w:lineRule="atLeast"/>
      <w:ind w:left="72" w:leftChars="30" w:right="72" w:rightChars="30"/>
      <w:jc w:val="both"/>
      <w:textAlignment w:val="baseline"/>
    </w:pPr>
    <w:rPr>
      <w:rFonts w:ascii="Times New Roman" w:cs="Times New Roman"/>
      <w:sz w:val="21"/>
      <w:szCs w:val="20"/>
      <w14:ligatures w14:val="none"/>
    </w:rPr>
  </w:style>
  <w:style w:type="paragraph" w:customStyle="1" w:styleId="43">
    <w:name w:val="[Normal]"/>
    <w:qFormat/>
    <w:uiPriority w:val="0"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宋体" w:hAnsi="宋体" w:eastAsia="宋体" w:cs="宋体"/>
      <w:sz w:val="24"/>
      <w:szCs w:val="24"/>
      <w:lang w:val="zh-CN" w:eastAsia="zh-CN" w:bidi="zh-CN"/>
    </w:rPr>
  </w:style>
  <w:style w:type="paragraph" w:customStyle="1" w:styleId="4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5">
    <w:name w:val="Comment Text Char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6">
    <w:name w:val="Comment Subject Char"/>
    <w:basedOn w:val="45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7BD43-FD37-4CF5-91A5-281FE9C5A9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1467</Words>
  <Characters>1616</Characters>
  <Lines>55</Lines>
  <Paragraphs>58</Paragraphs>
  <TotalTime>0</TotalTime>
  <ScaleCrop>false</ScaleCrop>
  <LinksUpToDate>false</LinksUpToDate>
  <CharactersWithSpaces>1625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2026-02-03T05:48:00Z</dcterms:created>
  <dc:creator>zyq</dc:creator>
  <cp:lastModifiedBy>张晏齐</cp:lastModifiedBy>
  <dcterms:modified xsi:type="dcterms:W3CDTF">2026-10-10T07:08:38Z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eyJoZGlkIjoiZWQ3YzIyODJiYzRiZWVkOWNjYjEwMTE4NjBjMjMzODQiLCJ1c2VySWQiOiIxNjg3MDQ4NTkxIn0=</vt:lpwstr>
  </property>
  <property fmtid="{D5CDD505-2E9C-101B-9397-08002B2CF9AE}" pid="3" name="KSOProductBuildVer">
    <vt:lpwstr>2052-12.1.0.28505</vt:lpwstr>
  </property>
  <property fmtid="{D5CDD505-2E9C-101B-9397-08002B2CF9AE}" pid="4" name="ICV">
    <vt:lpwstr>455A8753B98A4079A43B0A422AF8A122_13</vt:lpwstr>
  </property>
</Properties>
</file>