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26F7F">
      <w:pPr>
        <w:spacing w:after="240" w:line="360" w:lineRule="auto"/>
        <w:jc w:val="center"/>
      </w:pPr>
      <w:r>
        <w:rPr>
          <w:rFonts w:ascii="Times New Roman" w:hAnsi="Times New Roman" w:eastAsia="黑体"/>
          <w:b/>
          <w:sz w:val="32"/>
        </w:rPr>
        <w:t>虹口校区教学区师生服务综合体（食堂与教学科研用房）修缮改造工程方案配合设计单位比选采购需求</w:t>
      </w:r>
    </w:p>
    <w:p w14:paraId="56C22892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一、项目概况</w:t>
      </w:r>
    </w:p>
    <w:p w14:paraId="0AB7180F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（一）项目名称：上海外国语大学虹口校区教学区师生服务综合体（食堂与教学科研用房）修缮改造工程方案配合设计单位比选（配合学校完成初步设计及概算评审）</w:t>
      </w:r>
    </w:p>
    <w:p w14:paraId="3AAE233A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（二）项目地点：上海市虹口区大连西路550号上海外国语大学虹口校区</w:t>
      </w:r>
    </w:p>
    <w:p w14:paraId="0E9516AC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（三）服务期限：自合同签订之日起至配合学校完成初步设计及概算评审、按评审意见修改完善设计文件并交付设计交底资料止，设计进度须满足校方规定的进度要求。</w:t>
      </w:r>
    </w:p>
    <w:p w14:paraId="78AA255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（四）项目预算：比选限价人民币28万元（含税），大写：贰拾捌万元整。</w:t>
      </w:r>
    </w:p>
    <w:p w14:paraId="5CEB281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二、服务范围与设计内容</w:t>
      </w:r>
    </w:p>
    <w:p w14:paraId="35685A1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（一）对虹口校区教学区师生服务综合体（食堂与教学科研用房）修缮改造工程开展方案设计，组织建筑、结构、给排水、暖通、电气等各专业设计人员，编制方案设计文件。</w:t>
      </w:r>
    </w:p>
    <w:p w14:paraId="07D3776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主要建设内容：对虹口校区食堂及印务中心整体改造更新，包括功能提升、建筑加固、室内装修、设备设施更新等，改造后主要功能为学生食堂及教学、科研空间；项目改造前建筑面积9498.65平方米，拆除1727.85平方米，新建1350平方米，改造后建筑面积10498.65平方米。</w:t>
      </w:r>
    </w:p>
    <w:p w14:paraId="42CFC68E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（三）配合学校完成初步设计及概算评审，按评审意见修改完善设计文件。</w:t>
      </w:r>
    </w:p>
    <w:p w14:paraId="3A3BB11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三、设计依据</w:t>
      </w:r>
    </w:p>
    <w:p w14:paraId="54BE1A5C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（一）国家及上海市现行有关建筑设计、修缮改造、消防、节能、环保等方面的法律法规、设计规范与标准；</w:t>
      </w:r>
    </w:p>
    <w:p w14:paraId="10F9E97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（二）学校“十五五”基本建设规划、校园更新规划设计要求及现行相关管理规定。上述标准如有更新，按现行有效版本执行。</w:t>
      </w:r>
    </w:p>
    <w:p w14:paraId="0DB700E1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四、报价计量</w:t>
      </w:r>
    </w:p>
    <w:p w14:paraId="30AFC021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（一）本项目采用总价包干，报价为含税总价，含各专业设计、概算配合、评审配合、修改、现场服务、差旅等全部费用，中选后不因工作量波动调价。</w:t>
      </w:r>
    </w:p>
    <w:p w14:paraId="15AA68DA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（二）报价不得超过比选限价人民币28万元，超过限价的响应文件按无效处理。</w:t>
      </w:r>
    </w:p>
    <w:p w14:paraId="5D149A0C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五、服务要求</w:t>
      </w:r>
    </w:p>
    <w:p w14:paraId="7449516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（一）中选单位应按学校要求进度提交方案设计文件，并配合学校完成初步设计及概算评审，按评审意见及时修改完善设计文件。</w:t>
      </w:r>
    </w:p>
    <w:p w14:paraId="5FD99D15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（二）项目负责人须全程参与，各专业设计人员配置齐全，保证设计深度和出图质量。</w:t>
      </w:r>
    </w:p>
    <w:p w14:paraId="40FB32D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（三）中选单位应配合学校完成与设计相关的报批、咨询沟通工作，并按学校通知参加现场踏勘、设计交底及协调会议。</w:t>
      </w:r>
    </w:p>
    <w:p w14:paraId="121B51A1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（四）中选单位应对设计文件的真实性、合法性、深度及概算配合质量负责。</w:t>
      </w:r>
    </w:p>
    <w:p w14:paraId="39CC364B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六、供应商资格要求</w:t>
      </w:r>
    </w:p>
    <w:p w14:paraId="06955711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（一）具有独立企业法人资格，具有相应经营范围且在有效期内的营业执照；</w:t>
      </w:r>
    </w:p>
    <w:p w14:paraId="0070CF31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（二）具备建筑行业（建筑工程）设计甲级及以上资质，项目负责人须具备相应的执业资格证书；</w:t>
      </w:r>
    </w:p>
    <w:p w14:paraId="2F07EF73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（三）本项目不接受联合体报名，禁止转包、分包；</w:t>
      </w:r>
    </w:p>
    <w:p w14:paraId="1AEEFA1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（四）单位负责人为同一人或者存在直接控股、管理关系的不同供应商，不得参加同一合同项下的采购活动。</w:t>
      </w:r>
    </w:p>
    <w:p w14:paraId="06541363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七、商务要求</w:t>
      </w:r>
    </w:p>
    <w:p w14:paraId="57E6BD8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（一）报价为含税总价包干，包含本项目设计服务全部费用。</w:t>
      </w:r>
    </w:p>
    <w:p w14:paraId="68B901E5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（二）付款方式：合同签订后按合同约定支付，设计成果提交并经学校确认、配合完成初步设计及概算评审后付清余款。</w:t>
      </w:r>
    </w:p>
    <w:p w14:paraId="5F4FEF9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八、响应文件要求</w:t>
      </w:r>
    </w:p>
    <w:p w14:paraId="072600A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经年检合格的企业法人营业执照（复印件）、设计资质证书（复印件）、项目负责人一级注册建筑师证书（复印件）；</w:t>
      </w:r>
    </w:p>
    <w:p w14:paraId="1467242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法人代表授权委托书原件，被授权人身份证（复印件）及联系方式；</w:t>
      </w:r>
    </w:p>
    <w:p w14:paraId="074F439B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响应文件，应包含报价、设计方案、项目组人员配置、近3年类似业绩、业务经验等，报价含税；</w:t>
      </w:r>
    </w:p>
    <w:p w14:paraId="28F120F7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4. 已盖章的电子版响应文件扫描件（U盘）。</w:t>
      </w:r>
    </w:p>
    <w:p w14:paraId="19080F93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注：1、2项可与响应文件一同装订，响应文件应密封装订。</w:t>
      </w:r>
    </w:p>
    <w:p w14:paraId="5F94A685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九、评审办法</w:t>
      </w:r>
    </w:p>
    <w:p w14:paraId="76CC3097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根据商务报价、设计方案、项目组人员配置、比选单位资质和3年以内类似业绩进行综合比选，总分为100分：</w:t>
      </w:r>
    </w:p>
    <w:p w14:paraId="2283B7C9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（一）商务报价占30分；</w:t>
      </w:r>
    </w:p>
    <w:p w14:paraId="375A58A9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（二）设计方案、项目组人员配置、比选单位资质、3年以内类似业绩和业务经验等技术指标占70分。</w:t>
      </w:r>
    </w:p>
    <w:p w14:paraId="37FC3A3B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商务分评分标准：满足比选文件要求且比选价格最低的比选报价为基准价，其价格分为满分30分；其他比选人的比选报价得分＝（评标基准价／比选报价）×价格权值（30%）×100。</w:t>
      </w:r>
    </w:p>
    <w:p w14:paraId="485E1E5E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十、文件递交与联系方式</w:t>
      </w:r>
    </w:p>
    <w:p w14:paraId="1B034377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（一）比选文件递交地点：上海市松江区文翔路1550号上海外国语大学行政楼327室。</w:t>
      </w:r>
    </w:p>
    <w:p w14:paraId="0C37693E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 xml:space="preserve">（二）联系人及联系方式：基本建设处 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吴</w:t>
      </w:r>
      <w:r>
        <w:rPr>
          <w:rFonts w:ascii="Times New Roman" w:hAnsi="Times New Roman" w:eastAsia="宋体"/>
          <w:b w:val="0"/>
          <w:sz w:val="24"/>
        </w:rPr>
        <w:t>老师 021-67708047。</w:t>
      </w:r>
    </w:p>
    <w:p w14:paraId="799026A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（三）报名及响应文件递交截止时间：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2026</w:t>
      </w:r>
      <w:r>
        <w:rPr>
          <w:rFonts w:ascii="Times New Roman" w:hAnsi="Times New Roman" w:eastAsia="宋体"/>
          <w:b w:val="0"/>
          <w:sz w:val="24"/>
        </w:rPr>
        <w:t>年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sz w:val="24"/>
        </w:rPr>
        <w:t>月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29</w:t>
      </w:r>
      <w:r>
        <w:rPr>
          <w:rFonts w:ascii="Times New Roman" w:hAnsi="Times New Roman" w:eastAsia="宋体"/>
          <w:b w:val="0"/>
          <w:sz w:val="24"/>
        </w:rPr>
        <w:t>日（周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四</w:t>
      </w:r>
      <w:r>
        <w:rPr>
          <w:rFonts w:ascii="Times New Roman" w:hAnsi="Times New Roman" w:eastAsia="宋体"/>
          <w:b w:val="0"/>
          <w:sz w:val="24"/>
        </w:rPr>
        <w:t>）16:30。</w:t>
      </w:r>
    </w:p>
    <w:p w14:paraId="268A8076"/>
    <w:p w14:paraId="79CB9C55">
      <w:pPr>
        <w:spacing w:after="0" w:line="360" w:lineRule="auto"/>
        <w:jc w:val="right"/>
      </w:pPr>
      <w:r>
        <w:rPr>
          <w:rFonts w:ascii="Times New Roman" w:hAnsi="Times New Roman" w:eastAsia="宋体"/>
          <w:b w:val="0"/>
          <w:sz w:val="24"/>
        </w:rPr>
        <w:t>上海外国语大学基本建设处</w:t>
      </w:r>
    </w:p>
    <w:p w14:paraId="6DF446F1">
      <w:pPr>
        <w:spacing w:after="0" w:line="360" w:lineRule="auto"/>
        <w:jc w:val="right"/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2026</w:t>
      </w:r>
      <w:r>
        <w:rPr>
          <w:rFonts w:ascii="Times New Roman" w:hAnsi="Times New Roman" w:eastAsia="宋体"/>
          <w:b w:val="0"/>
          <w:sz w:val="24"/>
        </w:rPr>
        <w:t>年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sz w:val="24"/>
        </w:rPr>
        <w:t>月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22</w:t>
      </w:r>
      <w:bookmarkStart w:id="0" w:name="_GoBack"/>
      <w:bookmarkEnd w:id="0"/>
      <w:r>
        <w:rPr>
          <w:rFonts w:ascii="Times New Roman" w:hAnsi="Times New Roman" w:eastAsia="宋体"/>
          <w:b w:val="0"/>
          <w:sz w:val="24"/>
        </w:rPr>
        <w:t>日</w:t>
      </w:r>
    </w:p>
    <w:p w14:paraId="3E3F146D">
      <w:pPr>
        <w:sectPr>
          <w:pgSz w:w="11906" w:h="16838"/>
          <w:pgMar w:top="1417" w:right="1417" w:bottom="1417" w:left="1417" w:header="720" w:footer="720" w:gutter="0"/>
          <w:cols w:space="720" w:num="1"/>
          <w:docGrid w:linePitch="360" w:charSpace="0"/>
        </w:sectPr>
      </w:pPr>
    </w:p>
    <w:p w14:paraId="69635BD0">
      <w:pPr>
        <w:spacing w:before="0" w:after="16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上海外国语大学虹口校区教学区师生服务综合体（食堂与教学科研用房）修缮改造工程方案配合设计单位比选打分表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552"/>
        <w:gridCol w:w="2210"/>
        <w:gridCol w:w="1326"/>
        <w:gridCol w:w="1768"/>
        <w:gridCol w:w="1436"/>
        <w:gridCol w:w="1436"/>
        <w:gridCol w:w="2210"/>
        <w:gridCol w:w="1547"/>
        <w:gridCol w:w="1768"/>
        <w:gridCol w:w="884"/>
      </w:tblGrid>
      <w:tr w14:paraId="5884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restart"/>
            <w:vAlign w:val="center"/>
          </w:tcPr>
          <w:p w14:paraId="68E6F5F7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514" w:type="dxa"/>
            <w:vMerge w:val="restart"/>
            <w:vAlign w:val="center"/>
          </w:tcPr>
          <w:p w14:paraId="445295B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投标单位</w:t>
            </w:r>
          </w:p>
        </w:tc>
        <w:tc>
          <w:tcPr>
            <w:tcW w:w="1514" w:type="dxa"/>
            <w:vMerge w:val="restart"/>
            <w:vAlign w:val="center"/>
          </w:tcPr>
          <w:p w14:paraId="122C031D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商务报价</w:t>
            </w:r>
          </w:p>
          <w:p w14:paraId="6A92F93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（元）</w:t>
            </w:r>
          </w:p>
        </w:tc>
        <w:tc>
          <w:tcPr>
            <w:tcW w:w="7570" w:type="dxa"/>
            <w:gridSpan w:val="5"/>
            <w:vAlign w:val="center"/>
          </w:tcPr>
          <w:p w14:paraId="58453DF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技术部分70分（注：以上各项若有缺项，则该项得“0”分）</w:t>
            </w:r>
          </w:p>
        </w:tc>
        <w:tc>
          <w:tcPr>
            <w:tcW w:w="1514" w:type="dxa"/>
            <w:vMerge w:val="restart"/>
            <w:vAlign w:val="center"/>
          </w:tcPr>
          <w:p w14:paraId="57E177FB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商务部分</w:t>
            </w:r>
          </w:p>
          <w:p w14:paraId="62490BBC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价格部分（30分）</w:t>
            </w:r>
          </w:p>
        </w:tc>
        <w:tc>
          <w:tcPr>
            <w:tcW w:w="1514" w:type="dxa"/>
            <w:vMerge w:val="restart"/>
            <w:vAlign w:val="center"/>
          </w:tcPr>
          <w:p w14:paraId="3806AADB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合计</w:t>
            </w:r>
          </w:p>
        </w:tc>
      </w:tr>
      <w:tr w14:paraId="47BF1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6A007AA2"/>
        </w:tc>
        <w:tc>
          <w:tcPr>
            <w:tcW w:w="1514" w:type="dxa"/>
            <w:vMerge w:val="continue"/>
          </w:tcPr>
          <w:p w14:paraId="310B0B3A"/>
        </w:tc>
        <w:tc>
          <w:tcPr>
            <w:tcW w:w="1514" w:type="dxa"/>
            <w:vMerge w:val="continue"/>
          </w:tcPr>
          <w:p w14:paraId="5E5CD329"/>
        </w:tc>
        <w:tc>
          <w:tcPr>
            <w:tcW w:w="1514" w:type="dxa"/>
            <w:vAlign w:val="center"/>
          </w:tcPr>
          <w:p w14:paraId="10043480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公司业绩资质</w:t>
            </w:r>
          </w:p>
          <w:p w14:paraId="11FDF59D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（0-10分）</w:t>
            </w:r>
          </w:p>
        </w:tc>
        <w:tc>
          <w:tcPr>
            <w:tcW w:w="1514" w:type="dxa"/>
            <w:vAlign w:val="center"/>
          </w:tcPr>
          <w:p w14:paraId="6BDFAE2A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项目团队配置</w:t>
            </w:r>
          </w:p>
          <w:p w14:paraId="1855368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（0-15分）</w:t>
            </w:r>
          </w:p>
        </w:tc>
        <w:tc>
          <w:tcPr>
            <w:tcW w:w="1514" w:type="dxa"/>
            <w:vAlign w:val="center"/>
          </w:tcPr>
          <w:p w14:paraId="53A585E1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响应文件编制</w:t>
            </w:r>
          </w:p>
          <w:p w14:paraId="456CEB5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（0-5分）</w:t>
            </w:r>
          </w:p>
        </w:tc>
        <w:tc>
          <w:tcPr>
            <w:tcW w:w="1514" w:type="dxa"/>
            <w:vAlign w:val="center"/>
          </w:tcPr>
          <w:p w14:paraId="241EB13B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设计方案及工作大纲</w:t>
            </w:r>
          </w:p>
          <w:p w14:paraId="2108126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（0-30分）</w:t>
            </w:r>
          </w:p>
        </w:tc>
        <w:tc>
          <w:tcPr>
            <w:tcW w:w="1514" w:type="dxa"/>
            <w:vAlign w:val="center"/>
          </w:tcPr>
          <w:p w14:paraId="2D20A41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服务能力</w:t>
            </w:r>
          </w:p>
          <w:p w14:paraId="773B0E31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（0-10分）</w:t>
            </w:r>
          </w:p>
        </w:tc>
        <w:tc>
          <w:tcPr>
            <w:tcW w:w="1514" w:type="dxa"/>
            <w:vMerge w:val="continue"/>
          </w:tcPr>
          <w:p w14:paraId="64D6EA74"/>
        </w:tc>
        <w:tc>
          <w:tcPr>
            <w:tcW w:w="1514" w:type="dxa"/>
            <w:vMerge w:val="continue"/>
          </w:tcPr>
          <w:p w14:paraId="63592847"/>
        </w:tc>
      </w:tr>
      <w:tr w14:paraId="1A602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4A739E17"/>
        </w:tc>
        <w:tc>
          <w:tcPr>
            <w:tcW w:w="1514" w:type="dxa"/>
            <w:vMerge w:val="continue"/>
          </w:tcPr>
          <w:p w14:paraId="294580B6"/>
        </w:tc>
        <w:tc>
          <w:tcPr>
            <w:tcW w:w="1514" w:type="dxa"/>
            <w:vMerge w:val="continue"/>
          </w:tcPr>
          <w:p w14:paraId="0807CB81"/>
        </w:tc>
        <w:tc>
          <w:tcPr>
            <w:tcW w:w="1514" w:type="dxa"/>
            <w:vAlign w:val="center"/>
          </w:tcPr>
          <w:p w14:paraId="5728610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近3年每提供1项类似教育建筑或校园修缮改造设计业绩得1分，上限6分（须附合同或中标通知书复印件）；</w:t>
            </w:r>
          </w:p>
          <w:p w14:paraId="11135DC8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设计资质等级满足比选文件要求得4分。</w:t>
            </w:r>
          </w:p>
        </w:tc>
        <w:tc>
          <w:tcPr>
            <w:tcW w:w="1514" w:type="dxa"/>
            <w:vAlign w:val="center"/>
          </w:tcPr>
          <w:p w14:paraId="238F1609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项目负责人具备相应执业资格且具有类似工程设计经验得6分；</w:t>
            </w:r>
          </w:p>
          <w:p w14:paraId="75D26160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建筑、结构、给排水、暖通、电气各专业负责人配置齐全，以所有有效投标人中配置最齐全者为基准得满分9分，其他投标人每缺1个专业扣1分，最低得0分。</w:t>
            </w:r>
          </w:p>
        </w:tc>
        <w:tc>
          <w:tcPr>
            <w:tcW w:w="1514" w:type="dxa"/>
            <w:vAlign w:val="center"/>
          </w:tcPr>
          <w:p w14:paraId="03024E4A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装订牢固、目录清晰、逐页编码完整无缺失得2分，存在一项不达标扣1分；</w:t>
            </w:r>
          </w:p>
          <w:p w14:paraId="113A3619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响应比选文件要求，资料齐全、表格规范、数据准确得2分，资料缺失1项扣1分；</w:t>
            </w:r>
          </w:p>
          <w:p w14:paraId="01AA0FB5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文件逻辑清晰、表述严谨、无歧义得1分。</w:t>
            </w:r>
          </w:p>
        </w:tc>
        <w:tc>
          <w:tcPr>
            <w:tcW w:w="1514" w:type="dxa"/>
            <w:vAlign w:val="center"/>
          </w:tcPr>
          <w:p w14:paraId="26E7B961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对项目现状与使用需求理解准确，设计思路契合学校办学与修缮改造定位得0-6分；</w:t>
            </w:r>
          </w:p>
          <w:p w14:paraId="65A26442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方案设计构想合理、功能布局清晰、满足修缮改造与使用要求得0-8分；</w:t>
            </w:r>
          </w:p>
          <w:p w14:paraId="288F4C88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各专业设计组织与限额设计、概算配合措施完善得0-6分；</w:t>
            </w:r>
          </w:p>
          <w:p w14:paraId="5F0BA496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 配合学校完成初步设计及概算评审的工作安排与响应时限得0-10分。</w:t>
            </w:r>
          </w:p>
        </w:tc>
        <w:tc>
          <w:tcPr>
            <w:tcW w:w="1514" w:type="dxa"/>
            <w:vAlign w:val="center"/>
          </w:tcPr>
          <w:p w14:paraId="058E02F6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现场踏勘及项目现状调研服务得0-3分；</w:t>
            </w:r>
          </w:p>
          <w:p w14:paraId="75FFB025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项目沟通机制与响应时效得0-3分；</w:t>
            </w:r>
          </w:p>
          <w:p w14:paraId="4B5DCA50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服务承诺具体可落地得0-4分，承诺模糊酌情扣分。</w:t>
            </w:r>
          </w:p>
        </w:tc>
        <w:tc>
          <w:tcPr>
            <w:tcW w:w="1514" w:type="dxa"/>
            <w:vAlign w:val="center"/>
          </w:tcPr>
          <w:p w14:paraId="6DF17FE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综合评分法中的价格统一采用低价优先计算，即满足比选文件规定且报价最低的报价作为评标基准价，其价格分为满分。</w:t>
            </w:r>
          </w:p>
          <w:p w14:paraId="6D2FF4C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其他投标人价格分按下列公式计算：</w:t>
            </w:r>
          </w:p>
          <w:p w14:paraId="52D218D9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报价得分＝（评标基准价／投标报价）×30%×100</w:t>
            </w:r>
          </w:p>
        </w:tc>
        <w:tc>
          <w:tcPr>
            <w:tcW w:w="1514" w:type="dxa"/>
            <w:vMerge w:val="continue"/>
          </w:tcPr>
          <w:p w14:paraId="0CE81DD4"/>
        </w:tc>
      </w:tr>
      <w:tr w14:paraId="55A88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2EF3CDBA"/>
        </w:tc>
        <w:tc>
          <w:tcPr>
            <w:tcW w:w="1514" w:type="dxa"/>
            <w:vMerge w:val="continue"/>
          </w:tcPr>
          <w:p w14:paraId="01737085"/>
        </w:tc>
        <w:tc>
          <w:tcPr>
            <w:tcW w:w="1514" w:type="dxa"/>
            <w:vMerge w:val="continue"/>
          </w:tcPr>
          <w:p w14:paraId="6267A445"/>
        </w:tc>
        <w:tc>
          <w:tcPr>
            <w:tcW w:w="1514" w:type="dxa"/>
            <w:vAlign w:val="center"/>
          </w:tcPr>
          <w:p w14:paraId="2C041A7C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0-10分</w:t>
            </w:r>
          </w:p>
        </w:tc>
        <w:tc>
          <w:tcPr>
            <w:tcW w:w="1514" w:type="dxa"/>
            <w:vAlign w:val="center"/>
          </w:tcPr>
          <w:p w14:paraId="2B90517B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0-15分</w:t>
            </w:r>
          </w:p>
        </w:tc>
        <w:tc>
          <w:tcPr>
            <w:tcW w:w="1514" w:type="dxa"/>
            <w:vAlign w:val="center"/>
          </w:tcPr>
          <w:p w14:paraId="78D5CD1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0-5分</w:t>
            </w:r>
          </w:p>
        </w:tc>
        <w:tc>
          <w:tcPr>
            <w:tcW w:w="1514" w:type="dxa"/>
            <w:vAlign w:val="center"/>
          </w:tcPr>
          <w:p w14:paraId="1AB0DAC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0-30分</w:t>
            </w:r>
          </w:p>
        </w:tc>
        <w:tc>
          <w:tcPr>
            <w:tcW w:w="1514" w:type="dxa"/>
            <w:vAlign w:val="center"/>
          </w:tcPr>
          <w:p w14:paraId="7DA3D5E8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0-10分</w:t>
            </w:r>
          </w:p>
        </w:tc>
        <w:tc>
          <w:tcPr>
            <w:tcW w:w="1514" w:type="dxa"/>
            <w:vAlign w:val="center"/>
          </w:tcPr>
          <w:p w14:paraId="50B36CB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0-30分</w:t>
            </w:r>
          </w:p>
        </w:tc>
        <w:tc>
          <w:tcPr>
            <w:tcW w:w="1514" w:type="dxa"/>
            <w:vMerge w:val="continue"/>
          </w:tcPr>
          <w:p w14:paraId="2F9D75B2"/>
        </w:tc>
      </w:tr>
      <w:tr w14:paraId="29137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364DB8F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4" w:type="dxa"/>
          </w:tcPr>
          <w:p w14:paraId="4F8D7DD9"/>
        </w:tc>
        <w:tc>
          <w:tcPr>
            <w:tcW w:w="1514" w:type="dxa"/>
          </w:tcPr>
          <w:p w14:paraId="2AA04685"/>
        </w:tc>
        <w:tc>
          <w:tcPr>
            <w:tcW w:w="1514" w:type="dxa"/>
          </w:tcPr>
          <w:p w14:paraId="5FC51A7E"/>
        </w:tc>
        <w:tc>
          <w:tcPr>
            <w:tcW w:w="1514" w:type="dxa"/>
          </w:tcPr>
          <w:p w14:paraId="3AAD7092"/>
        </w:tc>
        <w:tc>
          <w:tcPr>
            <w:tcW w:w="1514" w:type="dxa"/>
          </w:tcPr>
          <w:p w14:paraId="5E93611B"/>
        </w:tc>
        <w:tc>
          <w:tcPr>
            <w:tcW w:w="1514" w:type="dxa"/>
          </w:tcPr>
          <w:p w14:paraId="73286493"/>
        </w:tc>
        <w:tc>
          <w:tcPr>
            <w:tcW w:w="1514" w:type="dxa"/>
          </w:tcPr>
          <w:p w14:paraId="1892D7DA"/>
        </w:tc>
        <w:tc>
          <w:tcPr>
            <w:tcW w:w="1514" w:type="dxa"/>
          </w:tcPr>
          <w:p w14:paraId="19E7652A"/>
        </w:tc>
        <w:tc>
          <w:tcPr>
            <w:tcW w:w="1514" w:type="dxa"/>
          </w:tcPr>
          <w:p w14:paraId="15BE4A5E"/>
        </w:tc>
      </w:tr>
      <w:tr w14:paraId="3878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06A1082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514" w:type="dxa"/>
          </w:tcPr>
          <w:p w14:paraId="39A5140B"/>
        </w:tc>
        <w:tc>
          <w:tcPr>
            <w:tcW w:w="1514" w:type="dxa"/>
          </w:tcPr>
          <w:p w14:paraId="669E2508"/>
        </w:tc>
        <w:tc>
          <w:tcPr>
            <w:tcW w:w="1514" w:type="dxa"/>
          </w:tcPr>
          <w:p w14:paraId="6C49F627"/>
        </w:tc>
        <w:tc>
          <w:tcPr>
            <w:tcW w:w="1514" w:type="dxa"/>
          </w:tcPr>
          <w:p w14:paraId="7DB3FF05"/>
        </w:tc>
        <w:tc>
          <w:tcPr>
            <w:tcW w:w="1514" w:type="dxa"/>
          </w:tcPr>
          <w:p w14:paraId="0AAB26A3"/>
        </w:tc>
        <w:tc>
          <w:tcPr>
            <w:tcW w:w="1514" w:type="dxa"/>
          </w:tcPr>
          <w:p w14:paraId="2B374DEA"/>
        </w:tc>
        <w:tc>
          <w:tcPr>
            <w:tcW w:w="1514" w:type="dxa"/>
          </w:tcPr>
          <w:p w14:paraId="161DE859"/>
        </w:tc>
        <w:tc>
          <w:tcPr>
            <w:tcW w:w="1514" w:type="dxa"/>
          </w:tcPr>
          <w:p w14:paraId="38CAC1D9"/>
        </w:tc>
        <w:tc>
          <w:tcPr>
            <w:tcW w:w="1514" w:type="dxa"/>
          </w:tcPr>
          <w:p w14:paraId="172A7035"/>
        </w:tc>
      </w:tr>
      <w:tr w14:paraId="3A97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101E79F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514" w:type="dxa"/>
          </w:tcPr>
          <w:p w14:paraId="1E38E1C9"/>
        </w:tc>
        <w:tc>
          <w:tcPr>
            <w:tcW w:w="1514" w:type="dxa"/>
          </w:tcPr>
          <w:p w14:paraId="174922B3"/>
        </w:tc>
        <w:tc>
          <w:tcPr>
            <w:tcW w:w="1514" w:type="dxa"/>
          </w:tcPr>
          <w:p w14:paraId="65F0B48C"/>
        </w:tc>
        <w:tc>
          <w:tcPr>
            <w:tcW w:w="1514" w:type="dxa"/>
          </w:tcPr>
          <w:p w14:paraId="01B9A362"/>
        </w:tc>
        <w:tc>
          <w:tcPr>
            <w:tcW w:w="1514" w:type="dxa"/>
          </w:tcPr>
          <w:p w14:paraId="310FFE9C"/>
        </w:tc>
        <w:tc>
          <w:tcPr>
            <w:tcW w:w="1514" w:type="dxa"/>
          </w:tcPr>
          <w:p w14:paraId="497CFEAE"/>
        </w:tc>
        <w:tc>
          <w:tcPr>
            <w:tcW w:w="1514" w:type="dxa"/>
          </w:tcPr>
          <w:p w14:paraId="49DA7CC9"/>
        </w:tc>
        <w:tc>
          <w:tcPr>
            <w:tcW w:w="1514" w:type="dxa"/>
          </w:tcPr>
          <w:p w14:paraId="069015F1"/>
        </w:tc>
        <w:tc>
          <w:tcPr>
            <w:tcW w:w="1514" w:type="dxa"/>
          </w:tcPr>
          <w:p w14:paraId="7EFBEA44"/>
        </w:tc>
      </w:tr>
      <w:tr w14:paraId="27CB1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0" w:type="dxa"/>
            <w:gridSpan w:val="10"/>
            <w:vAlign w:val="center"/>
          </w:tcPr>
          <w:p w14:paraId="3E0D2C95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评委签名：</w:t>
            </w:r>
          </w:p>
        </w:tc>
      </w:tr>
    </w:tbl>
    <w:p w14:paraId="7B2D6725"/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CF3DCC"/>
    <w:rsid w:val="57333E67"/>
    <w:rsid w:val="6864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2349</Words>
  <Characters>2480</Characters>
  <Lines>0</Lines>
  <Paragraphs>0</Paragraphs>
  <TotalTime>0</TotalTime>
  <ScaleCrop>false</ScaleCrop>
  <LinksUpToDate>false</LinksUpToDate>
  <CharactersWithSpaces>2507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吴珉玥</cp:lastModifiedBy>
  <dcterms:modified xsi:type="dcterms:W3CDTF">2026-10-22T07:57:29Z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eyJoZGlkIjoiMDM1YzcxZjNjZDJkN2FkM2JmZGJjZTc2MzE0MjUzOTkiLCJ1c2VySWQiOiIxMTUxMTMwMzQwIn0=</vt:lpwstr>
  </property>
  <property fmtid="{D5CDD505-2E9C-101B-9397-08002B2CF9AE}" pid="3" name="KSOProductBuildVer">
    <vt:lpwstr>2052-12.1.0.29161</vt:lpwstr>
  </property>
  <property fmtid="{D5CDD505-2E9C-101B-9397-08002B2CF9AE}" pid="4" name="ICV">
    <vt:lpwstr>B98795DBC7D64576A67C63683C47FAC5_12</vt:lpwstr>
  </property>
</Properties>
</file>