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9CEF632">
      <w:pPr>
        <w:spacing w:line="360" w:lineRule="auto"/>
        <w:jc w:val="center"/>
        <w:rPr>
          <w:rFonts w:hint="default" w:ascii="宋体" w:hAnsi="宋体" w:eastAsia="宋体"/>
          <w:b/>
          <w:spacing w:val="-1"/>
          <w:sz w:val="30"/>
          <w:szCs w:val="30"/>
        </w:rPr>
      </w:pPr>
      <w:r>
        <w:rPr>
          <w:rFonts w:ascii="宋体" w:hAnsi="宋体" w:eastAsia="宋体"/>
          <w:b/>
          <w:spacing w:val="-1"/>
          <w:sz w:val="30"/>
          <w:szCs w:val="30"/>
        </w:rPr>
        <w:t>上海外国语大学教师发展数字化平台咨询模块使用服务项目</w:t>
      </w:r>
    </w:p>
    <w:p w14:paraId="1F016244">
      <w:pPr>
        <w:spacing w:line="360" w:lineRule="auto"/>
        <w:jc w:val="center"/>
        <w:rPr>
          <w:rFonts w:hint="default" w:ascii="宋体" w:hAnsi="宋体" w:eastAsia="宋体"/>
          <w:sz w:val="30"/>
          <w:szCs w:val="30"/>
        </w:rPr>
      </w:pPr>
      <w:r>
        <w:rPr>
          <w:rFonts w:ascii="宋体" w:hAnsi="宋体" w:eastAsia="宋体"/>
          <w:b/>
          <w:sz w:val="30"/>
          <w:szCs w:val="30"/>
        </w:rPr>
        <w:t>公开比选需求</w:t>
      </w:r>
    </w:p>
    <w:p w14:paraId="13238FF1">
      <w:pPr>
        <w:spacing w:before="240" w:line="360" w:lineRule="auto"/>
        <w:rPr>
          <w:rFonts w:hint="default" w:ascii="宋体" w:hAnsi="宋体" w:eastAsia="宋体"/>
          <w:b/>
          <w:sz w:val="24"/>
          <w:szCs w:val="24"/>
        </w:rPr>
      </w:pPr>
      <w:r>
        <w:rPr>
          <w:rFonts w:ascii="宋体" w:hAnsi="宋体" w:eastAsia="宋体"/>
          <w:b/>
          <w:sz w:val="24"/>
          <w:szCs w:val="24"/>
        </w:rPr>
        <w:t>一、总体要求</w:t>
      </w:r>
    </w:p>
    <w:p w14:paraId="1AC9A40D">
      <w:pPr>
        <w:spacing w:line="360" w:lineRule="auto"/>
        <w:rPr>
          <w:rFonts w:hint="default" w:ascii="宋体" w:hAnsi="宋体" w:eastAsia="宋体"/>
          <w:sz w:val="24"/>
          <w:szCs w:val="24"/>
        </w:rPr>
      </w:pPr>
      <w:r>
        <w:rPr>
          <w:rFonts w:ascii="宋体" w:hAnsi="宋体" w:eastAsia="宋体"/>
          <w:sz w:val="24"/>
          <w:szCs w:val="24"/>
        </w:rPr>
        <w:t>1、项目预算：5万元</w:t>
      </w:r>
      <w:r>
        <w:rPr>
          <w:rFonts w:ascii="宋体" w:hAnsi="宋体" w:eastAsia="宋体"/>
          <w:b/>
          <w:bCs/>
          <w:sz w:val="24"/>
          <w:szCs w:val="24"/>
        </w:rPr>
        <w:t>（控制价，供应商报价不得超出）</w:t>
      </w:r>
    </w:p>
    <w:p w14:paraId="44A73E52">
      <w:pPr>
        <w:spacing w:line="360" w:lineRule="auto"/>
        <w:rPr>
          <w:rFonts w:hint="default" w:ascii="宋体" w:hAnsi="宋体" w:eastAsia="宋体"/>
          <w:sz w:val="24"/>
          <w:szCs w:val="24"/>
        </w:rPr>
      </w:pPr>
      <w:r>
        <w:rPr>
          <w:rFonts w:ascii="宋体" w:hAnsi="宋体" w:eastAsia="宋体"/>
          <w:sz w:val="24"/>
          <w:szCs w:val="24"/>
        </w:rPr>
        <w:t>2、项目部门：人事处</w:t>
      </w:r>
    </w:p>
    <w:p w14:paraId="4F46A5E7">
      <w:pPr>
        <w:spacing w:line="360" w:lineRule="auto"/>
        <w:ind w:firstLine="480" w:firstLineChars="200"/>
        <w:rPr>
          <w:rFonts w:hint="default" w:ascii="宋体" w:hAnsi="宋体" w:eastAsia="宋体"/>
          <w:sz w:val="24"/>
          <w:szCs w:val="24"/>
        </w:rPr>
      </w:pPr>
      <w:r>
        <w:rPr>
          <w:rFonts w:ascii="宋体" w:hAnsi="宋体" w:eastAsia="宋体"/>
          <w:sz w:val="24"/>
          <w:szCs w:val="24"/>
        </w:rPr>
        <w:t>项目联络人：罗泽文</w:t>
      </w:r>
    </w:p>
    <w:p w14:paraId="645771BF">
      <w:pPr>
        <w:spacing w:line="360" w:lineRule="auto"/>
        <w:ind w:firstLine="480" w:firstLineChars="200"/>
        <w:rPr>
          <w:rFonts w:hint="default" w:ascii="宋体" w:hAnsi="宋体" w:eastAsia="宋体"/>
          <w:sz w:val="24"/>
          <w:szCs w:val="24"/>
        </w:rPr>
      </w:pPr>
      <w:r>
        <w:rPr>
          <w:rFonts w:ascii="宋体" w:hAnsi="宋体" w:eastAsia="宋体"/>
          <w:sz w:val="24"/>
          <w:szCs w:val="24"/>
        </w:rPr>
        <w:t>联系电话：021-67708096</w:t>
      </w:r>
    </w:p>
    <w:p w14:paraId="09B39CA2">
      <w:pPr>
        <w:spacing w:line="360" w:lineRule="auto"/>
        <w:ind w:firstLine="480" w:firstLineChars="200"/>
        <w:rPr>
          <w:rFonts w:hint="default" w:ascii="宋体" w:hAnsi="宋体" w:eastAsia="宋体"/>
          <w:sz w:val="24"/>
          <w:szCs w:val="24"/>
        </w:rPr>
      </w:pPr>
      <w:r>
        <w:rPr>
          <w:rFonts w:ascii="宋体" w:hAnsi="宋体" w:eastAsia="宋体"/>
          <w:sz w:val="24"/>
          <w:szCs w:val="24"/>
        </w:rPr>
        <w:t>邮箱：jsfzzx@shisu.edu.cn</w:t>
      </w:r>
    </w:p>
    <w:p w14:paraId="4A8CAA13">
      <w:pPr>
        <w:spacing w:line="360" w:lineRule="auto"/>
        <w:rPr>
          <w:rFonts w:hint="default" w:ascii="宋体" w:hAnsi="宋体" w:eastAsia="宋体"/>
          <w:sz w:val="24"/>
          <w:szCs w:val="24"/>
        </w:rPr>
      </w:pPr>
      <w:r>
        <w:rPr>
          <w:rFonts w:ascii="宋体" w:hAnsi="宋体" w:eastAsia="宋体"/>
          <w:sz w:val="24"/>
          <w:szCs w:val="24"/>
        </w:rPr>
        <w:t>3、响应文件要求</w:t>
      </w:r>
    </w:p>
    <w:p w14:paraId="7B7BD75B">
      <w:pPr>
        <w:spacing w:line="360" w:lineRule="auto"/>
        <w:ind w:firstLine="480" w:firstLineChars="200"/>
        <w:rPr>
          <w:rFonts w:hint="default" w:ascii="宋体" w:hAnsi="宋体" w:eastAsia="宋体"/>
          <w:sz w:val="24"/>
          <w:szCs w:val="24"/>
        </w:rPr>
      </w:pPr>
      <w:r>
        <w:rPr>
          <w:rFonts w:hint="default" w:ascii="宋体" w:hAnsi="宋体" w:eastAsia="宋体"/>
          <w:sz w:val="24"/>
          <w:szCs w:val="24"/>
        </w:rPr>
        <w:t>1)</w:t>
      </w:r>
      <w:r>
        <w:rPr>
          <w:rFonts w:hint="default" w:ascii="宋体" w:hAnsi="宋体" w:eastAsia="宋体"/>
          <w:sz w:val="24"/>
          <w:szCs w:val="24"/>
        </w:rPr>
        <w:tab/>
      </w:r>
      <w:r>
        <w:rPr>
          <w:rFonts w:ascii="宋体" w:hAnsi="宋体" w:eastAsia="宋体"/>
          <w:sz w:val="24"/>
          <w:szCs w:val="24"/>
        </w:rPr>
        <w:t>响应</w:t>
      </w:r>
      <w:r>
        <w:rPr>
          <w:rFonts w:hint="default" w:ascii="宋体" w:hAnsi="宋体" w:eastAsia="宋体"/>
          <w:sz w:val="24"/>
          <w:szCs w:val="24"/>
        </w:rPr>
        <w:t>截止日期：202</w:t>
      </w:r>
      <w:r>
        <w:rPr>
          <w:rFonts w:ascii="宋体" w:hAnsi="宋体" w:eastAsia="宋体"/>
          <w:sz w:val="24"/>
          <w:szCs w:val="24"/>
        </w:rPr>
        <w:t>6</w:t>
      </w:r>
      <w:r>
        <w:rPr>
          <w:rFonts w:hint="default" w:ascii="宋体" w:hAnsi="宋体" w:eastAsia="宋体"/>
          <w:sz w:val="24"/>
          <w:szCs w:val="24"/>
        </w:rPr>
        <w:t>年1</w:t>
      </w:r>
      <w:r>
        <w:rPr>
          <w:rFonts w:ascii="宋体" w:hAnsi="宋体" w:eastAsia="宋体"/>
          <w:sz w:val="24"/>
          <w:szCs w:val="24"/>
        </w:rPr>
        <w:t>0月21日12</w:t>
      </w:r>
      <w:r>
        <w:rPr>
          <w:rFonts w:hint="default" w:ascii="宋体" w:hAnsi="宋体" w:eastAsia="宋体"/>
          <w:sz w:val="24"/>
          <w:szCs w:val="24"/>
        </w:rPr>
        <w:t>:00（北京时间）</w:t>
      </w:r>
    </w:p>
    <w:p w14:paraId="49C81E46">
      <w:pPr>
        <w:spacing w:line="360" w:lineRule="auto"/>
        <w:ind w:firstLine="480" w:firstLineChars="200"/>
        <w:rPr>
          <w:rFonts w:hint="default" w:ascii="宋体" w:hAnsi="宋体" w:eastAsia="宋体"/>
          <w:sz w:val="24"/>
          <w:szCs w:val="24"/>
        </w:rPr>
      </w:pPr>
      <w:r>
        <w:rPr>
          <w:rFonts w:ascii="宋体" w:hAnsi="宋体" w:eastAsia="宋体"/>
          <w:sz w:val="24"/>
          <w:szCs w:val="24"/>
        </w:rPr>
        <w:t>2</w:t>
      </w:r>
      <w:r>
        <w:rPr>
          <w:rFonts w:hint="default" w:ascii="宋体" w:hAnsi="宋体" w:eastAsia="宋体"/>
          <w:sz w:val="24"/>
          <w:szCs w:val="24"/>
        </w:rPr>
        <w:t>)</w:t>
      </w:r>
      <w:r>
        <w:rPr>
          <w:rFonts w:hint="default" w:ascii="宋体" w:hAnsi="宋体" w:eastAsia="宋体"/>
          <w:sz w:val="24"/>
          <w:szCs w:val="24"/>
        </w:rPr>
        <w:tab/>
      </w:r>
      <w:r>
        <w:rPr>
          <w:rFonts w:hint="default" w:ascii="宋体" w:hAnsi="宋体" w:eastAsia="宋体"/>
          <w:sz w:val="24"/>
          <w:szCs w:val="24"/>
        </w:rPr>
        <w:t>响应文件扫描件（PDF格式）发送邮箱地址：jsfzzx@shisu.edu.cn，邮件主题注明：公司名称+项目名称</w:t>
      </w:r>
    </w:p>
    <w:p w14:paraId="1D3E3BC6">
      <w:pPr>
        <w:spacing w:line="360" w:lineRule="auto"/>
        <w:ind w:firstLine="480" w:firstLineChars="200"/>
        <w:rPr>
          <w:rFonts w:hint="default" w:ascii="宋体" w:hAnsi="宋体" w:eastAsia="宋体"/>
          <w:sz w:val="24"/>
          <w:szCs w:val="24"/>
        </w:rPr>
      </w:pPr>
      <w:r>
        <w:rPr>
          <w:rFonts w:hint="default" w:ascii="宋体" w:hAnsi="宋体" w:eastAsia="宋体"/>
          <w:sz w:val="24"/>
          <w:szCs w:val="24"/>
        </w:rPr>
        <w:t>3）密封（封面请注明“项目名称”）的响应文件纸质版（一式五份）送至下列地址：</w:t>
      </w:r>
    </w:p>
    <w:p w14:paraId="7787D452">
      <w:pPr>
        <w:spacing w:line="360" w:lineRule="auto"/>
        <w:ind w:firstLine="480" w:firstLineChars="200"/>
        <w:rPr>
          <w:rFonts w:hint="default" w:ascii="宋体" w:hAnsi="宋体" w:eastAsia="宋体"/>
          <w:sz w:val="24"/>
          <w:szCs w:val="24"/>
        </w:rPr>
      </w:pPr>
      <w:r>
        <w:rPr>
          <w:rFonts w:hint="default" w:ascii="宋体" w:hAnsi="宋体" w:eastAsia="宋体"/>
          <w:sz w:val="24"/>
          <w:szCs w:val="24"/>
        </w:rPr>
        <w:t>递交地址：松江区文翔路1550号上海外国语大学行政楼230室</w:t>
      </w:r>
    </w:p>
    <w:p w14:paraId="30E9533D">
      <w:pPr>
        <w:spacing w:line="360" w:lineRule="auto"/>
        <w:ind w:firstLine="480" w:firstLineChars="200"/>
        <w:rPr>
          <w:rFonts w:hint="default" w:ascii="宋体" w:hAnsi="宋体" w:eastAsia="宋体"/>
          <w:sz w:val="24"/>
          <w:szCs w:val="24"/>
        </w:rPr>
      </w:pPr>
      <w:r>
        <w:rPr>
          <w:rFonts w:hint="default" w:ascii="宋体" w:hAnsi="宋体" w:eastAsia="宋体"/>
          <w:sz w:val="24"/>
          <w:szCs w:val="24"/>
        </w:rPr>
        <w:t>联系人、联系方式：罗老师、021-67708096</w:t>
      </w:r>
    </w:p>
    <w:p w14:paraId="33FDF5E0">
      <w:pPr>
        <w:spacing w:line="360" w:lineRule="auto"/>
        <w:ind w:firstLine="480" w:firstLineChars="200"/>
        <w:rPr>
          <w:rFonts w:hint="default" w:ascii="宋体" w:hAnsi="宋体" w:eastAsia="宋体"/>
          <w:sz w:val="24"/>
          <w:szCs w:val="24"/>
        </w:rPr>
      </w:pPr>
      <w:r>
        <w:rPr>
          <w:rFonts w:hint="default" w:ascii="宋体" w:hAnsi="宋体" w:eastAsia="宋体"/>
          <w:sz w:val="24"/>
          <w:szCs w:val="24"/>
        </w:rPr>
        <w:t>邮编：201620</w:t>
      </w:r>
    </w:p>
    <w:p w14:paraId="30CE71D6">
      <w:pPr>
        <w:spacing w:line="360" w:lineRule="auto"/>
        <w:rPr>
          <w:rFonts w:hint="default" w:ascii="宋体" w:hAnsi="宋体" w:eastAsia="宋体"/>
          <w:sz w:val="24"/>
          <w:szCs w:val="24"/>
        </w:rPr>
      </w:pPr>
      <w:r>
        <w:rPr>
          <w:rFonts w:ascii="宋体" w:hAnsi="宋体" w:eastAsia="宋体"/>
          <w:sz w:val="24"/>
          <w:szCs w:val="24"/>
        </w:rPr>
        <w:t>4、简述项目整体情况及需求</w:t>
      </w:r>
    </w:p>
    <w:p w14:paraId="7AF1E1F3">
      <w:pPr>
        <w:spacing w:line="360" w:lineRule="auto"/>
        <w:rPr>
          <w:rFonts w:hint="default" w:ascii="宋体" w:hAnsi="宋体" w:eastAsia="宋体"/>
          <w:sz w:val="24"/>
          <w:szCs w:val="24"/>
        </w:rPr>
      </w:pPr>
      <w:r>
        <w:rPr>
          <w:rFonts w:hint="default" w:ascii="宋体" w:hAnsi="宋体" w:eastAsia="宋体"/>
          <w:sz w:val="24"/>
          <w:szCs w:val="24"/>
        </w:rPr>
        <w:t xml:space="preserve">A. </w:t>
      </w:r>
      <w:r>
        <w:rPr>
          <w:rFonts w:ascii="宋体" w:hAnsi="宋体" w:eastAsia="宋体"/>
          <w:sz w:val="24"/>
          <w:szCs w:val="24"/>
        </w:rPr>
        <w:t>现有情况</w:t>
      </w:r>
    </w:p>
    <w:p w14:paraId="2C7624DC">
      <w:pPr>
        <w:spacing w:line="360" w:lineRule="auto"/>
        <w:ind w:firstLine="480" w:firstLineChars="200"/>
        <w:rPr>
          <w:rFonts w:hint="default" w:ascii="宋体" w:hAnsi="宋体" w:eastAsia="宋体"/>
          <w:sz w:val="24"/>
          <w:szCs w:val="24"/>
        </w:rPr>
      </w:pPr>
      <w:r>
        <w:rPr>
          <w:rFonts w:ascii="宋体" w:hAnsi="宋体" w:eastAsia="宋体"/>
          <w:sz w:val="24"/>
          <w:szCs w:val="24"/>
        </w:rPr>
        <w:t>2026年，我校已完成“教师发展数字化平台”的搭建，主要包括教师培训管理系统、教师在线学习系统、教学竞赛管理系统三个主要模块。平台已实现</w:t>
      </w:r>
      <w:r>
        <w:rPr>
          <w:rFonts w:hint="default" w:ascii="宋体" w:hAnsi="宋体" w:eastAsia="宋体"/>
          <w:sz w:val="24"/>
          <w:szCs w:val="24"/>
        </w:rPr>
        <w:t>教师培训项目发布、报名、过程管理及竞赛组织等核心功能</w:t>
      </w:r>
      <w:r>
        <w:rPr>
          <w:rFonts w:ascii="宋体" w:hAnsi="宋体" w:eastAsia="宋体"/>
          <w:sz w:val="24"/>
          <w:szCs w:val="24"/>
        </w:rPr>
        <w:t>。为建设教师发展分支中心，同时更好地服务全校教师，特别是代表学校参赛的专任教师和刚刚入职的青年教师，亟需采购平台咨询模块服务</w:t>
      </w:r>
      <w:r>
        <w:rPr>
          <w:rFonts w:ascii="宋体" w:hAnsi="宋体" w:eastAsia="宋体"/>
          <w:bCs/>
          <w:sz w:val="24"/>
          <w:szCs w:val="24"/>
        </w:rPr>
        <w:t>以完善</w:t>
      </w:r>
      <w:r>
        <w:rPr>
          <w:rFonts w:ascii="宋体" w:hAnsi="宋体" w:eastAsia="宋体"/>
          <w:sz w:val="24"/>
          <w:szCs w:val="24"/>
        </w:rPr>
        <w:t>智慧发展生态的构建。</w:t>
      </w:r>
    </w:p>
    <w:p w14:paraId="4B70CFE2">
      <w:pPr>
        <w:spacing w:line="360" w:lineRule="auto"/>
        <w:rPr>
          <w:rFonts w:hint="default" w:ascii="宋体" w:hAnsi="宋体" w:eastAsia="宋体"/>
          <w:sz w:val="24"/>
          <w:szCs w:val="24"/>
        </w:rPr>
      </w:pPr>
      <w:r>
        <w:rPr>
          <w:rFonts w:hint="default" w:ascii="宋体" w:hAnsi="宋体" w:eastAsia="宋体"/>
          <w:sz w:val="24"/>
          <w:szCs w:val="24"/>
        </w:rPr>
        <w:t xml:space="preserve">B. </w:t>
      </w:r>
      <w:r>
        <w:rPr>
          <w:rFonts w:ascii="宋体" w:hAnsi="宋体" w:eastAsia="宋体"/>
          <w:sz w:val="24"/>
          <w:szCs w:val="24"/>
        </w:rPr>
        <w:t>本次采购概况</w:t>
      </w:r>
    </w:p>
    <w:p w14:paraId="1F6012C0">
      <w:pPr>
        <w:spacing w:line="360" w:lineRule="auto"/>
        <w:ind w:firstLine="480" w:firstLineChars="200"/>
        <w:rPr>
          <w:rFonts w:hint="default" w:ascii="宋体" w:hAnsi="宋体" w:eastAsia="宋体"/>
          <w:b/>
          <w:bCs/>
          <w:sz w:val="24"/>
          <w:szCs w:val="24"/>
          <w:u w:val="single"/>
        </w:rPr>
      </w:pPr>
      <w:r>
        <w:rPr>
          <w:rFonts w:ascii="宋体" w:hAnsi="宋体" w:eastAsia="宋体"/>
          <w:sz w:val="24"/>
          <w:szCs w:val="24"/>
        </w:rPr>
        <w:t>本次主要为确定服务采购协议，</w:t>
      </w:r>
      <w:r>
        <w:rPr>
          <w:rFonts w:ascii="宋体" w:hAnsi="宋体" w:eastAsia="宋体"/>
          <w:b/>
          <w:bCs/>
          <w:sz w:val="24"/>
          <w:szCs w:val="24"/>
        </w:rPr>
        <w:t>协议服务期限：</w:t>
      </w:r>
      <w:r>
        <w:rPr>
          <w:rFonts w:ascii="宋体" w:hAnsi="宋体" w:eastAsia="宋体"/>
          <w:b/>
          <w:bCs/>
          <w:sz w:val="24"/>
          <w:szCs w:val="24"/>
          <w:u w:val="single"/>
        </w:rPr>
        <w:t>一年。</w:t>
      </w:r>
    </w:p>
    <w:p w14:paraId="5E4621E7">
      <w:pPr>
        <w:spacing w:line="360" w:lineRule="auto"/>
        <w:rPr>
          <w:rFonts w:hint="default" w:ascii="宋体" w:hAnsi="宋体" w:eastAsia="宋体"/>
          <w:sz w:val="24"/>
          <w:szCs w:val="24"/>
        </w:rPr>
      </w:pPr>
      <w:r>
        <w:rPr>
          <w:rFonts w:hint="default" w:ascii="宋体" w:hAnsi="宋体" w:eastAsia="宋体"/>
          <w:sz w:val="24"/>
          <w:szCs w:val="24"/>
        </w:rPr>
        <w:t xml:space="preserve">C. </w:t>
      </w:r>
      <w:r>
        <w:rPr>
          <w:rFonts w:ascii="宋体" w:hAnsi="宋体" w:eastAsia="宋体"/>
          <w:sz w:val="24"/>
          <w:szCs w:val="24"/>
        </w:rPr>
        <w:t>预期效果</w:t>
      </w:r>
    </w:p>
    <w:p w14:paraId="71F0F6A1">
      <w:pPr>
        <w:pStyle w:val="2"/>
        <w:spacing w:line="360" w:lineRule="auto"/>
        <w:ind w:firstLine="480" w:firstLineChars="200"/>
        <w:rPr>
          <w:rFonts w:hint="default" w:ascii="宋体" w:hAnsi="宋体" w:eastAsia="宋体"/>
          <w:sz w:val="24"/>
          <w:szCs w:val="24"/>
        </w:rPr>
      </w:pPr>
      <w:r>
        <w:rPr>
          <w:rFonts w:ascii="宋体" w:hAnsi="宋体" w:eastAsia="宋体"/>
          <w:sz w:val="24"/>
          <w:szCs w:val="24"/>
        </w:rPr>
        <w:t>本项目预期采购</w:t>
      </w:r>
      <w:r>
        <w:rPr>
          <w:rFonts w:hint="eastAsia" w:ascii="宋体" w:hAnsi="宋体" w:eastAsia="宋体"/>
          <w:sz w:val="24"/>
          <w:szCs w:val="24"/>
          <w:lang w:val="en-US" w:eastAsia="zh-CN"/>
        </w:rPr>
        <w:t>一</w:t>
      </w:r>
      <w:bookmarkStart w:id="6" w:name="_GoBack"/>
      <w:bookmarkEnd w:id="6"/>
      <w:r>
        <w:rPr>
          <w:rFonts w:ascii="宋体" w:hAnsi="宋体" w:eastAsia="宋体"/>
          <w:sz w:val="24"/>
          <w:szCs w:val="24"/>
        </w:rPr>
        <w:t>年的咨询模块使用服务，成交供应商需提供内容体系完善、结构清晰的服务，服务应满足咨询功能提供、教师个人端及管理端双端管理、教师电脑端及微信端双端使用等，确保更好地服务全校教师。</w:t>
      </w:r>
    </w:p>
    <w:p w14:paraId="765BB026">
      <w:pPr>
        <w:spacing w:before="240" w:line="360" w:lineRule="auto"/>
        <w:rPr>
          <w:rFonts w:hint="default" w:ascii="宋体" w:hAnsi="宋体" w:eastAsia="宋体"/>
          <w:b/>
          <w:sz w:val="24"/>
          <w:szCs w:val="24"/>
        </w:rPr>
      </w:pPr>
      <w:r>
        <w:rPr>
          <w:rFonts w:ascii="宋体" w:hAnsi="宋体" w:eastAsia="宋体"/>
          <w:b/>
          <w:sz w:val="24"/>
          <w:szCs w:val="24"/>
        </w:rPr>
        <w:t>二、产品规格参数及预算</w:t>
      </w:r>
    </w:p>
    <w:tbl>
      <w:tblPr>
        <w:tblStyle w:val="14"/>
        <w:tblW w:w="850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850"/>
        <w:gridCol w:w="2551"/>
        <w:gridCol w:w="3686"/>
        <w:gridCol w:w="1417"/>
      </w:tblGrid>
      <w:tr w14:paraId="0F5A2C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850" w:type="dxa"/>
            <w:tcMar>
              <w:top w:w="79" w:type="dxa"/>
              <w:left w:w="79" w:type="dxa"/>
              <w:bottom w:w="79" w:type="dxa"/>
              <w:right w:w="79" w:type="dxa"/>
            </w:tcMar>
            <w:vAlign w:val="center"/>
          </w:tcPr>
          <w:p w14:paraId="29A8F3C7">
            <w:pPr>
              <w:pBdr>
                <w:top w:val="none" w:color="auto" w:sz="0" w:space="0"/>
                <w:left w:val="none" w:color="auto" w:sz="0" w:space="0"/>
                <w:bottom w:val="none" w:color="auto" w:sz="0" w:space="0"/>
                <w:right w:val="none" w:color="auto" w:sz="0" w:space="0"/>
                <w:between w:val="none" w:color="auto" w:sz="0" w:space="0"/>
              </w:pBdr>
              <w:jc w:val="center"/>
              <w:rPr>
                <w:rFonts w:hint="default" w:ascii="宋体" w:hAnsi="宋体" w:eastAsia="宋体"/>
                <w:b/>
                <w:sz w:val="24"/>
                <w:szCs w:val="24"/>
              </w:rPr>
            </w:pPr>
            <w:r>
              <w:rPr>
                <w:rFonts w:ascii="宋体" w:hAnsi="宋体" w:eastAsia="宋体" w:cs="微软雅黑"/>
                <w:b/>
                <w:sz w:val="24"/>
                <w:szCs w:val="24"/>
              </w:rPr>
              <w:t>序号</w:t>
            </w:r>
          </w:p>
        </w:tc>
        <w:tc>
          <w:tcPr>
            <w:tcW w:w="2551" w:type="dxa"/>
            <w:tcMar>
              <w:top w:w="79" w:type="dxa"/>
              <w:left w:w="79" w:type="dxa"/>
              <w:bottom w:w="79" w:type="dxa"/>
              <w:right w:w="79" w:type="dxa"/>
            </w:tcMar>
            <w:vAlign w:val="center"/>
          </w:tcPr>
          <w:p w14:paraId="519CE1D3">
            <w:pPr>
              <w:pBdr>
                <w:top w:val="none" w:color="auto" w:sz="0" w:space="0"/>
                <w:left w:val="none" w:color="auto" w:sz="0" w:space="0"/>
                <w:bottom w:val="none" w:color="auto" w:sz="0" w:space="0"/>
                <w:right w:val="none" w:color="auto" w:sz="0" w:space="0"/>
                <w:between w:val="none" w:color="auto" w:sz="0" w:space="0"/>
              </w:pBdr>
              <w:jc w:val="center"/>
              <w:rPr>
                <w:rFonts w:hint="default" w:ascii="宋体" w:hAnsi="宋体" w:eastAsia="宋体"/>
                <w:b/>
                <w:sz w:val="24"/>
                <w:szCs w:val="24"/>
              </w:rPr>
            </w:pPr>
            <w:r>
              <w:rPr>
                <w:rFonts w:ascii="宋体" w:hAnsi="宋体" w:eastAsia="宋体" w:cs="微软雅黑"/>
                <w:b/>
                <w:sz w:val="24"/>
                <w:szCs w:val="24"/>
              </w:rPr>
              <w:t>名称</w:t>
            </w:r>
          </w:p>
        </w:tc>
        <w:tc>
          <w:tcPr>
            <w:tcW w:w="3685" w:type="dxa"/>
            <w:tcMar>
              <w:top w:w="79" w:type="dxa"/>
              <w:left w:w="79" w:type="dxa"/>
              <w:bottom w:w="79" w:type="dxa"/>
              <w:right w:w="79" w:type="dxa"/>
            </w:tcMar>
            <w:vAlign w:val="center"/>
          </w:tcPr>
          <w:p w14:paraId="0A902EE7">
            <w:pPr>
              <w:pBdr>
                <w:top w:val="none" w:color="auto" w:sz="0" w:space="0"/>
                <w:left w:val="none" w:color="auto" w:sz="0" w:space="0"/>
                <w:bottom w:val="none" w:color="auto" w:sz="0" w:space="0"/>
                <w:right w:val="none" w:color="auto" w:sz="0" w:space="0"/>
                <w:between w:val="none" w:color="auto" w:sz="0" w:space="0"/>
              </w:pBdr>
              <w:jc w:val="center"/>
              <w:rPr>
                <w:rFonts w:hint="default" w:ascii="宋体" w:hAnsi="宋体" w:eastAsia="宋体"/>
                <w:b/>
                <w:sz w:val="24"/>
                <w:szCs w:val="24"/>
              </w:rPr>
            </w:pPr>
            <w:r>
              <w:rPr>
                <w:rFonts w:ascii="宋体" w:hAnsi="宋体" w:eastAsia="宋体" w:cs="微软雅黑"/>
                <w:b/>
                <w:sz w:val="24"/>
                <w:szCs w:val="24"/>
              </w:rPr>
              <w:t>内容</w:t>
            </w:r>
          </w:p>
        </w:tc>
        <w:tc>
          <w:tcPr>
            <w:tcW w:w="1417" w:type="dxa"/>
            <w:tcMar>
              <w:top w:w="79" w:type="dxa"/>
              <w:left w:w="79" w:type="dxa"/>
              <w:bottom w:w="79" w:type="dxa"/>
              <w:right w:w="79" w:type="dxa"/>
            </w:tcMar>
            <w:vAlign w:val="center"/>
          </w:tcPr>
          <w:p w14:paraId="5863FFD3">
            <w:pPr>
              <w:pBdr>
                <w:top w:val="none" w:color="auto" w:sz="0" w:space="0"/>
                <w:left w:val="none" w:color="auto" w:sz="0" w:space="0"/>
                <w:bottom w:val="none" w:color="auto" w:sz="0" w:space="0"/>
                <w:right w:val="none" w:color="auto" w:sz="0" w:space="0"/>
                <w:between w:val="none" w:color="auto" w:sz="0" w:space="0"/>
              </w:pBdr>
              <w:jc w:val="center"/>
              <w:rPr>
                <w:rFonts w:hint="default" w:ascii="宋体" w:hAnsi="宋体" w:eastAsia="宋体"/>
                <w:b/>
                <w:sz w:val="24"/>
                <w:szCs w:val="24"/>
              </w:rPr>
            </w:pPr>
            <w:r>
              <w:rPr>
                <w:rFonts w:ascii="宋体" w:hAnsi="宋体" w:eastAsia="宋体" w:cs="微软雅黑"/>
                <w:b/>
                <w:sz w:val="24"/>
                <w:szCs w:val="24"/>
              </w:rPr>
              <w:t>预算（元）</w:t>
            </w:r>
          </w:p>
        </w:tc>
      </w:tr>
      <w:tr w14:paraId="57E301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28" w:hRule="atLeast"/>
          <w:jc w:val="center"/>
        </w:trPr>
        <w:tc>
          <w:tcPr>
            <w:tcW w:w="850" w:type="dxa"/>
            <w:tcMar>
              <w:top w:w="79" w:type="dxa"/>
              <w:left w:w="79" w:type="dxa"/>
              <w:bottom w:w="79" w:type="dxa"/>
              <w:right w:w="79" w:type="dxa"/>
            </w:tcMar>
            <w:vAlign w:val="center"/>
          </w:tcPr>
          <w:p w14:paraId="11672539">
            <w:pPr>
              <w:pBdr>
                <w:top w:val="none" w:color="auto" w:sz="0" w:space="0"/>
                <w:left w:val="none" w:color="auto" w:sz="0" w:space="0"/>
                <w:bottom w:val="none" w:color="auto" w:sz="0" w:space="0"/>
                <w:right w:val="none" w:color="auto" w:sz="0" w:space="0"/>
                <w:between w:val="none" w:color="auto" w:sz="0" w:space="0"/>
              </w:pBdr>
              <w:jc w:val="center"/>
              <w:rPr>
                <w:rFonts w:hint="default" w:ascii="宋体" w:hAnsi="宋体" w:eastAsia="宋体"/>
                <w:sz w:val="24"/>
                <w:szCs w:val="24"/>
              </w:rPr>
            </w:pPr>
            <w:r>
              <w:rPr>
                <w:rFonts w:ascii="宋体" w:hAnsi="宋体" w:eastAsia="宋体"/>
                <w:sz w:val="24"/>
                <w:szCs w:val="24"/>
              </w:rPr>
              <w:t>1</w:t>
            </w:r>
          </w:p>
        </w:tc>
        <w:tc>
          <w:tcPr>
            <w:tcW w:w="2551" w:type="dxa"/>
            <w:tcMar>
              <w:top w:w="79" w:type="dxa"/>
              <w:left w:w="79" w:type="dxa"/>
              <w:bottom w:w="79" w:type="dxa"/>
              <w:right w:w="79" w:type="dxa"/>
            </w:tcMar>
            <w:vAlign w:val="center"/>
          </w:tcPr>
          <w:p w14:paraId="3D0BA418">
            <w:pPr>
              <w:rPr>
                <w:rFonts w:hint="default" w:ascii="宋体" w:hAnsi="宋体" w:eastAsia="宋体" w:cs="Times New Roman"/>
                <w:b/>
                <w:color w:val="auto"/>
                <w:sz w:val="24"/>
                <w:szCs w:val="24"/>
              </w:rPr>
            </w:pPr>
            <w:r>
              <w:rPr>
                <w:rFonts w:ascii="宋体" w:hAnsi="宋体" w:eastAsia="宋体" w:cs="Times New Roman"/>
                <w:color w:val="auto"/>
                <w:sz w:val="24"/>
                <w:szCs w:val="24"/>
              </w:rPr>
              <w:t>教师发展数字化平台咨询模块使用服务</w:t>
            </w:r>
          </w:p>
        </w:tc>
        <w:tc>
          <w:tcPr>
            <w:tcW w:w="3685" w:type="dxa"/>
            <w:tcMar>
              <w:top w:w="79" w:type="dxa"/>
              <w:left w:w="79" w:type="dxa"/>
              <w:bottom w:w="79" w:type="dxa"/>
              <w:right w:w="79" w:type="dxa"/>
            </w:tcMar>
            <w:vAlign w:val="center"/>
          </w:tcPr>
          <w:p w14:paraId="02A302E4">
            <w:pPr>
              <w:rPr>
                <w:rFonts w:hint="default" w:ascii="宋体" w:hAnsi="宋体" w:eastAsia="宋体" w:cs="宋体"/>
                <w:color w:val="auto"/>
                <w:kern w:val="0"/>
                <w:sz w:val="24"/>
                <w:szCs w:val="24"/>
              </w:rPr>
            </w:pPr>
            <w:r>
              <w:rPr>
                <w:rFonts w:ascii="宋体" w:hAnsi="宋体" w:eastAsia="宋体" w:cs="Times New Roman"/>
                <w:color w:val="auto"/>
                <w:sz w:val="24"/>
                <w:szCs w:val="24"/>
              </w:rPr>
              <w:t>服务期限：三年，</w:t>
            </w:r>
            <w:bookmarkStart w:id="0" w:name="OLE_LINK6"/>
            <w:bookmarkStart w:id="1" w:name="OLE_LINK5"/>
            <w:bookmarkStart w:id="2" w:name="_Hlk199343900"/>
            <w:r>
              <w:rPr>
                <w:rFonts w:ascii="宋体" w:hAnsi="宋体" w:eastAsia="宋体" w:cs="Times New Roman"/>
                <w:color w:val="auto"/>
                <w:sz w:val="24"/>
                <w:szCs w:val="24"/>
              </w:rPr>
              <w:t>2026年11月1日至2027年10月</w:t>
            </w:r>
            <w:bookmarkEnd w:id="0"/>
            <w:bookmarkEnd w:id="1"/>
            <w:r>
              <w:rPr>
                <w:rFonts w:hint="default" w:ascii="宋体" w:hAnsi="宋体" w:eastAsia="宋体" w:cs="Times New Roman"/>
                <w:color w:val="auto"/>
                <w:sz w:val="24"/>
                <w:szCs w:val="24"/>
              </w:rPr>
              <w:t>3</w:t>
            </w:r>
            <w:r>
              <w:rPr>
                <w:rFonts w:ascii="宋体" w:hAnsi="宋体" w:eastAsia="宋体" w:cs="Times New Roman"/>
                <w:color w:val="auto"/>
                <w:sz w:val="24"/>
                <w:szCs w:val="24"/>
              </w:rPr>
              <w:t>1日</w:t>
            </w:r>
            <w:bookmarkEnd w:id="2"/>
            <w:r>
              <w:rPr>
                <w:rFonts w:ascii="宋体" w:hAnsi="宋体" w:eastAsia="宋体" w:cs="Times New Roman"/>
                <w:color w:val="auto"/>
                <w:sz w:val="24"/>
                <w:szCs w:val="24"/>
              </w:rPr>
              <w:t>。</w:t>
            </w:r>
          </w:p>
        </w:tc>
        <w:tc>
          <w:tcPr>
            <w:tcW w:w="1417" w:type="dxa"/>
            <w:tcMar>
              <w:top w:w="79" w:type="dxa"/>
              <w:left w:w="79" w:type="dxa"/>
              <w:bottom w:w="79" w:type="dxa"/>
              <w:right w:w="79" w:type="dxa"/>
            </w:tcMar>
            <w:vAlign w:val="center"/>
          </w:tcPr>
          <w:p w14:paraId="42B293F5">
            <w:pPr>
              <w:jc w:val="center"/>
              <w:rPr>
                <w:rFonts w:hint="default" w:ascii="宋体" w:hAnsi="宋体" w:eastAsia="宋体" w:cs="Times New Roman"/>
                <w:color w:val="auto"/>
                <w:sz w:val="24"/>
                <w:szCs w:val="24"/>
              </w:rPr>
            </w:pPr>
            <w:r>
              <w:rPr>
                <w:rFonts w:ascii="宋体" w:hAnsi="宋体" w:eastAsia="宋体" w:cs="Times New Roman"/>
                <w:color w:val="auto"/>
                <w:sz w:val="24"/>
                <w:szCs w:val="24"/>
              </w:rPr>
              <w:t>50,000</w:t>
            </w:r>
          </w:p>
        </w:tc>
      </w:tr>
      <w:tr w14:paraId="24E942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06" w:hRule="atLeast"/>
          <w:jc w:val="center"/>
        </w:trPr>
        <w:tc>
          <w:tcPr>
            <w:tcW w:w="7087" w:type="dxa"/>
            <w:gridSpan w:val="3"/>
            <w:tcMar>
              <w:top w:w="79" w:type="dxa"/>
              <w:left w:w="79" w:type="dxa"/>
              <w:bottom w:w="79" w:type="dxa"/>
              <w:right w:w="79" w:type="dxa"/>
            </w:tcMar>
            <w:vAlign w:val="center"/>
          </w:tcPr>
          <w:p w14:paraId="1F1971AA">
            <w:pPr>
              <w:widowControl/>
              <w:jc w:val="left"/>
              <w:rPr>
                <w:rFonts w:hint="default" w:ascii="宋体" w:hAnsi="宋体" w:eastAsia="宋体" w:cs="宋体"/>
                <w:color w:val="auto"/>
                <w:kern w:val="0"/>
                <w:sz w:val="24"/>
                <w:szCs w:val="24"/>
              </w:rPr>
            </w:pPr>
            <w:r>
              <w:rPr>
                <w:rFonts w:ascii="宋体" w:hAnsi="宋体" w:eastAsia="宋体" w:cs="宋体"/>
                <w:b/>
                <w:color w:val="auto"/>
                <w:kern w:val="0"/>
                <w:sz w:val="24"/>
                <w:szCs w:val="24"/>
              </w:rPr>
              <w:t>总计</w:t>
            </w:r>
          </w:p>
        </w:tc>
        <w:tc>
          <w:tcPr>
            <w:tcW w:w="1417" w:type="dxa"/>
            <w:tcMar>
              <w:top w:w="79" w:type="dxa"/>
              <w:left w:w="79" w:type="dxa"/>
              <w:bottom w:w="79" w:type="dxa"/>
              <w:right w:w="79" w:type="dxa"/>
            </w:tcMar>
            <w:vAlign w:val="center"/>
          </w:tcPr>
          <w:p w14:paraId="2E2A3969">
            <w:pPr>
              <w:jc w:val="center"/>
              <w:rPr>
                <w:rFonts w:hint="default" w:ascii="宋体" w:hAnsi="宋体" w:eastAsia="宋体" w:cs="Times New Roman"/>
                <w:b/>
                <w:color w:val="auto"/>
                <w:sz w:val="24"/>
                <w:szCs w:val="24"/>
              </w:rPr>
            </w:pPr>
            <w:r>
              <w:rPr>
                <w:rFonts w:ascii="宋体" w:hAnsi="宋体" w:eastAsia="宋体" w:cs="Times New Roman"/>
                <w:b/>
                <w:color w:val="auto"/>
                <w:sz w:val="24"/>
                <w:szCs w:val="24"/>
              </w:rPr>
              <w:t>50</w:t>
            </w:r>
            <w:r>
              <w:rPr>
                <w:rFonts w:hint="default" w:ascii="宋体" w:hAnsi="宋体" w:eastAsia="宋体" w:cs="Times New Roman"/>
                <w:b/>
                <w:color w:val="auto"/>
                <w:sz w:val="24"/>
                <w:szCs w:val="24"/>
              </w:rPr>
              <w:t>,000</w:t>
            </w:r>
          </w:p>
        </w:tc>
      </w:tr>
    </w:tbl>
    <w:p w14:paraId="397C9619">
      <w:pPr>
        <w:spacing w:before="240" w:line="360" w:lineRule="auto"/>
        <w:rPr>
          <w:rFonts w:hint="default" w:ascii="宋体" w:hAnsi="宋体" w:eastAsia="宋体"/>
          <w:b/>
          <w:sz w:val="24"/>
          <w:szCs w:val="24"/>
        </w:rPr>
      </w:pPr>
      <w:r>
        <w:rPr>
          <w:rFonts w:ascii="宋体" w:hAnsi="宋体" w:eastAsia="宋体"/>
          <w:b/>
          <w:sz w:val="24"/>
          <w:szCs w:val="24"/>
        </w:rPr>
        <w:t>三、服务内容</w:t>
      </w:r>
    </w:p>
    <w:tbl>
      <w:tblPr>
        <w:tblStyle w:val="14"/>
        <w:tblW w:w="850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704"/>
        <w:gridCol w:w="1276"/>
        <w:gridCol w:w="709"/>
        <w:gridCol w:w="4677"/>
        <w:gridCol w:w="1134"/>
      </w:tblGrid>
      <w:tr w14:paraId="6D5CFD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80" w:hRule="atLeast"/>
          <w:jc w:val="center"/>
        </w:trPr>
        <w:tc>
          <w:tcPr>
            <w:tcW w:w="704" w:type="dxa"/>
            <w:tcMar>
              <w:top w:w="79" w:type="dxa"/>
              <w:left w:w="79" w:type="dxa"/>
              <w:bottom w:w="79" w:type="dxa"/>
              <w:right w:w="79" w:type="dxa"/>
            </w:tcMar>
            <w:vAlign w:val="center"/>
          </w:tcPr>
          <w:p w14:paraId="7891F830">
            <w:pPr>
              <w:pBdr>
                <w:top w:val="none" w:color="auto" w:sz="0" w:space="0"/>
                <w:left w:val="none" w:color="auto" w:sz="0" w:space="0"/>
                <w:bottom w:val="none" w:color="auto" w:sz="0" w:space="0"/>
                <w:right w:val="none" w:color="auto" w:sz="0" w:space="0"/>
                <w:between w:val="none" w:color="auto" w:sz="0" w:space="0"/>
              </w:pBdr>
              <w:jc w:val="center"/>
              <w:rPr>
                <w:rFonts w:hint="default" w:ascii="宋体" w:hAnsi="宋体" w:eastAsia="宋体"/>
                <w:b/>
                <w:sz w:val="24"/>
                <w:szCs w:val="24"/>
              </w:rPr>
            </w:pPr>
            <w:r>
              <w:rPr>
                <w:rFonts w:ascii="宋体" w:hAnsi="宋体" w:eastAsia="宋体"/>
                <w:b/>
                <w:sz w:val="24"/>
                <w:szCs w:val="24"/>
              </w:rPr>
              <w:t>序号</w:t>
            </w:r>
          </w:p>
        </w:tc>
        <w:tc>
          <w:tcPr>
            <w:tcW w:w="1276" w:type="dxa"/>
            <w:tcMar>
              <w:top w:w="79" w:type="dxa"/>
              <w:left w:w="79" w:type="dxa"/>
              <w:bottom w:w="79" w:type="dxa"/>
              <w:right w:w="79" w:type="dxa"/>
            </w:tcMar>
            <w:vAlign w:val="center"/>
          </w:tcPr>
          <w:p w14:paraId="12EB327D">
            <w:pPr>
              <w:pBdr>
                <w:top w:val="none" w:color="auto" w:sz="0" w:space="0"/>
                <w:left w:val="none" w:color="auto" w:sz="0" w:space="0"/>
                <w:bottom w:val="none" w:color="auto" w:sz="0" w:space="0"/>
                <w:right w:val="none" w:color="auto" w:sz="0" w:space="0"/>
                <w:between w:val="none" w:color="auto" w:sz="0" w:space="0"/>
              </w:pBdr>
              <w:jc w:val="center"/>
              <w:rPr>
                <w:rFonts w:hint="default" w:ascii="宋体" w:hAnsi="宋体" w:eastAsia="宋体"/>
                <w:b/>
                <w:sz w:val="24"/>
                <w:szCs w:val="24"/>
              </w:rPr>
            </w:pPr>
            <w:r>
              <w:rPr>
                <w:rFonts w:ascii="宋体" w:hAnsi="宋体" w:eastAsia="宋体"/>
                <w:b/>
                <w:sz w:val="24"/>
                <w:szCs w:val="24"/>
              </w:rPr>
              <w:t>服务项目</w:t>
            </w:r>
          </w:p>
        </w:tc>
        <w:tc>
          <w:tcPr>
            <w:tcW w:w="5386" w:type="dxa"/>
            <w:gridSpan w:val="2"/>
            <w:tcMar>
              <w:top w:w="79" w:type="dxa"/>
              <w:left w:w="79" w:type="dxa"/>
              <w:bottom w:w="79" w:type="dxa"/>
              <w:right w:w="79" w:type="dxa"/>
            </w:tcMar>
            <w:vAlign w:val="center"/>
          </w:tcPr>
          <w:p w14:paraId="63FCB236">
            <w:pPr>
              <w:pBdr>
                <w:top w:val="none" w:color="auto" w:sz="0" w:space="0"/>
                <w:left w:val="none" w:color="auto" w:sz="0" w:space="0"/>
                <w:bottom w:val="none" w:color="auto" w:sz="0" w:space="0"/>
                <w:right w:val="none" w:color="auto" w:sz="0" w:space="0"/>
                <w:between w:val="none" w:color="auto" w:sz="0" w:space="0"/>
              </w:pBdr>
              <w:jc w:val="center"/>
              <w:rPr>
                <w:rFonts w:hint="default" w:ascii="宋体" w:hAnsi="宋体" w:eastAsia="宋体"/>
                <w:bCs/>
                <w:sz w:val="24"/>
                <w:szCs w:val="24"/>
              </w:rPr>
            </w:pPr>
            <w:r>
              <w:rPr>
                <w:rFonts w:ascii="宋体" w:hAnsi="宋体" w:eastAsia="宋体"/>
                <w:b/>
                <w:sz w:val="24"/>
                <w:szCs w:val="24"/>
              </w:rPr>
              <w:t>服务内容描述</w:t>
            </w:r>
            <w:r>
              <w:rPr>
                <w:rFonts w:hint="default" w:ascii="宋体" w:hAnsi="宋体" w:eastAsia="宋体"/>
                <w:b/>
                <w:sz w:val="24"/>
                <w:szCs w:val="24"/>
              </w:rPr>
              <w:br w:type="textWrapping"/>
            </w:r>
            <w:r>
              <w:rPr>
                <w:rFonts w:ascii="宋体" w:hAnsi="宋体" w:eastAsia="宋体"/>
                <w:bCs/>
                <w:sz w:val="24"/>
                <w:szCs w:val="24"/>
              </w:rPr>
              <w:t>（以下内容在协议期内均有效）</w:t>
            </w:r>
          </w:p>
        </w:tc>
        <w:tc>
          <w:tcPr>
            <w:tcW w:w="1134" w:type="dxa"/>
            <w:tcMar>
              <w:top w:w="79" w:type="dxa"/>
              <w:left w:w="79" w:type="dxa"/>
              <w:bottom w:w="79" w:type="dxa"/>
              <w:right w:w="79" w:type="dxa"/>
            </w:tcMar>
            <w:vAlign w:val="center"/>
          </w:tcPr>
          <w:p w14:paraId="704DA26C">
            <w:pPr>
              <w:pBdr>
                <w:top w:val="none" w:color="auto" w:sz="0" w:space="0"/>
                <w:left w:val="none" w:color="auto" w:sz="0" w:space="0"/>
                <w:bottom w:val="none" w:color="auto" w:sz="0" w:space="0"/>
                <w:right w:val="none" w:color="auto" w:sz="0" w:space="0"/>
                <w:between w:val="none" w:color="auto" w:sz="0" w:space="0"/>
              </w:pBdr>
              <w:jc w:val="center"/>
              <w:rPr>
                <w:rFonts w:hint="default" w:ascii="宋体" w:hAnsi="宋体" w:eastAsia="宋体"/>
                <w:b/>
                <w:sz w:val="24"/>
                <w:szCs w:val="24"/>
              </w:rPr>
            </w:pPr>
            <w:r>
              <w:rPr>
                <w:rFonts w:ascii="宋体" w:hAnsi="宋体" w:eastAsia="宋体"/>
                <w:b/>
                <w:sz w:val="24"/>
                <w:szCs w:val="24"/>
              </w:rPr>
              <w:t>服务方式</w:t>
            </w:r>
          </w:p>
        </w:tc>
      </w:tr>
      <w:tr w14:paraId="71F63C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704" w:type="dxa"/>
            <w:vMerge w:val="restart"/>
            <w:tcMar>
              <w:top w:w="79" w:type="dxa"/>
              <w:left w:w="79" w:type="dxa"/>
              <w:bottom w:w="79" w:type="dxa"/>
              <w:right w:w="79" w:type="dxa"/>
            </w:tcMar>
            <w:vAlign w:val="center"/>
          </w:tcPr>
          <w:p w14:paraId="236874A5">
            <w:pPr>
              <w:pBdr>
                <w:top w:val="none" w:color="auto" w:sz="0" w:space="0"/>
                <w:left w:val="none" w:color="auto" w:sz="0" w:space="0"/>
                <w:bottom w:val="none" w:color="auto" w:sz="0" w:space="0"/>
                <w:right w:val="none" w:color="auto" w:sz="0" w:space="0"/>
                <w:between w:val="none" w:color="auto" w:sz="0" w:space="0"/>
              </w:pBdr>
              <w:jc w:val="center"/>
              <w:rPr>
                <w:rFonts w:hint="default" w:ascii="宋体" w:hAnsi="宋体" w:eastAsia="宋体"/>
                <w:bCs/>
                <w:sz w:val="24"/>
                <w:szCs w:val="24"/>
              </w:rPr>
            </w:pPr>
            <w:r>
              <w:rPr>
                <w:rFonts w:ascii="宋体" w:hAnsi="宋体" w:eastAsia="宋体"/>
                <w:bCs/>
                <w:sz w:val="24"/>
                <w:szCs w:val="24"/>
              </w:rPr>
              <w:t>1</w:t>
            </w:r>
          </w:p>
        </w:tc>
        <w:tc>
          <w:tcPr>
            <w:tcW w:w="1276" w:type="dxa"/>
            <w:vMerge w:val="restart"/>
            <w:tcMar>
              <w:top w:w="79" w:type="dxa"/>
              <w:left w:w="79" w:type="dxa"/>
              <w:bottom w:w="79" w:type="dxa"/>
              <w:right w:w="79" w:type="dxa"/>
            </w:tcMar>
            <w:vAlign w:val="center"/>
          </w:tcPr>
          <w:p w14:paraId="794FAFAF">
            <w:pPr>
              <w:pBdr>
                <w:top w:val="none" w:color="auto" w:sz="0" w:space="0"/>
                <w:left w:val="none" w:color="auto" w:sz="0" w:space="0"/>
                <w:bottom w:val="none" w:color="auto" w:sz="0" w:space="0"/>
                <w:right w:val="none" w:color="auto" w:sz="0" w:space="0"/>
                <w:between w:val="none" w:color="auto" w:sz="0" w:space="0"/>
              </w:pBdr>
              <w:jc w:val="center"/>
              <w:rPr>
                <w:rFonts w:hint="default" w:ascii="宋体" w:hAnsi="宋体" w:eastAsia="宋体"/>
                <w:bCs/>
                <w:sz w:val="24"/>
                <w:szCs w:val="24"/>
              </w:rPr>
            </w:pPr>
            <w:r>
              <w:rPr>
                <w:rFonts w:ascii="宋体" w:hAnsi="宋体" w:eastAsia="宋体" w:cs="Times New Roman"/>
                <w:color w:val="auto"/>
                <w:sz w:val="24"/>
                <w:szCs w:val="24"/>
              </w:rPr>
              <w:t>咨询模块使用服务</w:t>
            </w:r>
          </w:p>
        </w:tc>
        <w:tc>
          <w:tcPr>
            <w:tcW w:w="709" w:type="dxa"/>
            <w:tcMar>
              <w:top w:w="79" w:type="dxa"/>
              <w:left w:w="79" w:type="dxa"/>
              <w:bottom w:w="79" w:type="dxa"/>
              <w:right w:w="79" w:type="dxa"/>
            </w:tcMar>
            <w:vAlign w:val="center"/>
          </w:tcPr>
          <w:p w14:paraId="4D5283DA">
            <w:pPr>
              <w:pBdr>
                <w:top w:val="none" w:color="auto" w:sz="0" w:space="0"/>
                <w:left w:val="none" w:color="auto" w:sz="0" w:space="0"/>
                <w:bottom w:val="none" w:color="auto" w:sz="0" w:space="0"/>
                <w:right w:val="none" w:color="auto" w:sz="0" w:space="0"/>
                <w:between w:val="none" w:color="auto" w:sz="0" w:space="0"/>
              </w:pBdr>
              <w:rPr>
                <w:rFonts w:hint="default" w:ascii="宋体" w:hAnsi="宋体" w:eastAsia="宋体"/>
                <w:bCs/>
                <w:sz w:val="24"/>
                <w:szCs w:val="24"/>
              </w:rPr>
            </w:pPr>
            <w:r>
              <w:rPr>
                <w:rFonts w:ascii="宋体" w:hAnsi="宋体" w:eastAsia="宋体"/>
                <w:bCs/>
                <w:sz w:val="24"/>
                <w:szCs w:val="24"/>
              </w:rPr>
              <w:tab/>
            </w:r>
            <w:r>
              <w:rPr>
                <w:rFonts w:ascii="宋体" w:hAnsi="宋体" w:eastAsia="宋体"/>
                <w:bCs/>
                <w:sz w:val="24"/>
                <w:szCs w:val="24"/>
              </w:rPr>
              <w:t>咨询</w:t>
            </w:r>
            <w:r>
              <w:rPr>
                <w:rFonts w:hint="default" w:ascii="宋体" w:hAnsi="宋体" w:eastAsia="宋体"/>
                <w:bCs/>
                <w:sz w:val="24"/>
                <w:szCs w:val="24"/>
              </w:rPr>
              <w:br w:type="textWrapping"/>
            </w:r>
            <w:r>
              <w:rPr>
                <w:rFonts w:ascii="宋体" w:hAnsi="宋体" w:eastAsia="宋体"/>
                <w:bCs/>
                <w:sz w:val="24"/>
                <w:szCs w:val="24"/>
              </w:rPr>
              <w:t>服务</w:t>
            </w:r>
            <w:r>
              <w:rPr>
                <w:rFonts w:hint="default" w:ascii="宋体" w:hAnsi="宋体" w:eastAsia="宋体"/>
                <w:bCs/>
                <w:sz w:val="24"/>
                <w:szCs w:val="24"/>
              </w:rPr>
              <w:br w:type="textWrapping"/>
            </w:r>
            <w:r>
              <w:rPr>
                <w:rFonts w:ascii="宋体" w:hAnsi="宋体" w:eastAsia="宋体"/>
                <w:bCs/>
                <w:sz w:val="24"/>
                <w:szCs w:val="24"/>
              </w:rPr>
              <w:t>管理</w:t>
            </w:r>
          </w:p>
        </w:tc>
        <w:tc>
          <w:tcPr>
            <w:tcW w:w="4677" w:type="dxa"/>
            <w:vAlign w:val="center"/>
          </w:tcPr>
          <w:p w14:paraId="7DE475CF">
            <w:pPr>
              <w:pBdr>
                <w:top w:val="none" w:color="auto" w:sz="0" w:space="0"/>
                <w:left w:val="none" w:color="auto" w:sz="0" w:space="0"/>
                <w:bottom w:val="none" w:color="auto" w:sz="0" w:space="0"/>
                <w:right w:val="none" w:color="auto" w:sz="0" w:space="0"/>
                <w:between w:val="none" w:color="auto" w:sz="0" w:space="0"/>
              </w:pBdr>
              <w:rPr>
                <w:rFonts w:hint="default" w:ascii="宋体" w:hAnsi="宋体" w:eastAsia="宋体"/>
                <w:bCs/>
                <w:sz w:val="24"/>
                <w:szCs w:val="24"/>
              </w:rPr>
            </w:pPr>
            <w:r>
              <w:rPr>
                <w:rFonts w:ascii="宋体" w:hAnsi="宋体" w:eastAsia="宋体"/>
                <w:bCs/>
                <w:sz w:val="24"/>
                <w:szCs w:val="24"/>
              </w:rPr>
              <w:t>提供门户端教师在线咨询服务预约界面，可以按照不同的咨询服务类型进行分频道专家预约，为校内教师提供个性化咨询诊断服务。</w:t>
            </w:r>
          </w:p>
          <w:p w14:paraId="0113D34D">
            <w:pPr>
              <w:pBdr>
                <w:top w:val="none" w:color="auto" w:sz="0" w:space="0"/>
                <w:left w:val="none" w:color="auto" w:sz="0" w:space="0"/>
                <w:bottom w:val="none" w:color="auto" w:sz="0" w:space="0"/>
                <w:right w:val="none" w:color="auto" w:sz="0" w:space="0"/>
                <w:between w:val="none" w:color="auto" w:sz="0" w:space="0"/>
              </w:pBdr>
              <w:rPr>
                <w:rFonts w:hint="default" w:ascii="宋体" w:hAnsi="宋体" w:eastAsia="宋体"/>
                <w:bCs/>
                <w:sz w:val="24"/>
                <w:szCs w:val="24"/>
              </w:rPr>
            </w:pPr>
            <w:r>
              <w:rPr>
                <w:rFonts w:ascii="宋体" w:hAnsi="宋体" w:eastAsia="宋体"/>
                <w:bCs/>
                <w:sz w:val="24"/>
                <w:szCs w:val="24"/>
              </w:rPr>
              <w:t>教师可通过PC或微信端查看咨询服务诊断项目、在线预约专家、进行服务评价等。</w:t>
            </w:r>
          </w:p>
        </w:tc>
        <w:tc>
          <w:tcPr>
            <w:tcW w:w="1134" w:type="dxa"/>
            <w:vMerge w:val="restart"/>
            <w:tcMar>
              <w:top w:w="79" w:type="dxa"/>
              <w:left w:w="79" w:type="dxa"/>
              <w:bottom w:w="79" w:type="dxa"/>
              <w:right w:w="79" w:type="dxa"/>
            </w:tcMar>
            <w:vAlign w:val="center"/>
          </w:tcPr>
          <w:p w14:paraId="709DD4B6">
            <w:pPr>
              <w:pBdr>
                <w:top w:val="none" w:color="auto" w:sz="0" w:space="0"/>
                <w:left w:val="none" w:color="auto" w:sz="0" w:space="0"/>
                <w:bottom w:val="none" w:color="auto" w:sz="0" w:space="0"/>
                <w:right w:val="none" w:color="auto" w:sz="0" w:space="0"/>
                <w:between w:val="none" w:color="auto" w:sz="0" w:space="0"/>
              </w:pBdr>
              <w:jc w:val="center"/>
              <w:rPr>
                <w:rFonts w:hint="default" w:ascii="宋体" w:hAnsi="宋体" w:eastAsia="宋体"/>
                <w:bCs/>
                <w:sz w:val="24"/>
                <w:szCs w:val="24"/>
              </w:rPr>
            </w:pPr>
            <w:r>
              <w:rPr>
                <w:rFonts w:ascii="宋体" w:hAnsi="宋体" w:eastAsia="宋体"/>
                <w:bCs/>
                <w:sz w:val="24"/>
                <w:szCs w:val="24"/>
              </w:rPr>
              <w:t>本地化部署并开通该模块服务</w:t>
            </w:r>
          </w:p>
        </w:tc>
      </w:tr>
      <w:tr w14:paraId="11DCF7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704" w:type="dxa"/>
            <w:vMerge w:val="continue"/>
            <w:tcMar>
              <w:top w:w="79" w:type="dxa"/>
              <w:left w:w="79" w:type="dxa"/>
              <w:bottom w:w="79" w:type="dxa"/>
              <w:right w:w="79" w:type="dxa"/>
            </w:tcMar>
            <w:vAlign w:val="center"/>
          </w:tcPr>
          <w:p w14:paraId="3B5C8FC5">
            <w:pPr>
              <w:pBdr>
                <w:top w:val="none" w:color="auto" w:sz="0" w:space="0"/>
                <w:left w:val="none" w:color="auto" w:sz="0" w:space="0"/>
                <w:bottom w:val="none" w:color="auto" w:sz="0" w:space="0"/>
                <w:right w:val="none" w:color="auto" w:sz="0" w:space="0"/>
                <w:between w:val="none" w:color="auto" w:sz="0" w:space="0"/>
              </w:pBdr>
              <w:jc w:val="center"/>
              <w:rPr>
                <w:rFonts w:hint="default" w:ascii="宋体" w:hAnsi="宋体" w:eastAsia="宋体"/>
                <w:bCs/>
                <w:sz w:val="24"/>
                <w:szCs w:val="24"/>
              </w:rPr>
            </w:pPr>
          </w:p>
        </w:tc>
        <w:tc>
          <w:tcPr>
            <w:tcW w:w="1276" w:type="dxa"/>
            <w:vMerge w:val="continue"/>
            <w:tcMar>
              <w:top w:w="79" w:type="dxa"/>
              <w:left w:w="79" w:type="dxa"/>
              <w:bottom w:w="79" w:type="dxa"/>
              <w:right w:w="79" w:type="dxa"/>
            </w:tcMar>
            <w:vAlign w:val="center"/>
          </w:tcPr>
          <w:p w14:paraId="69045E18">
            <w:pPr>
              <w:pBdr>
                <w:top w:val="none" w:color="auto" w:sz="0" w:space="0"/>
                <w:left w:val="none" w:color="auto" w:sz="0" w:space="0"/>
                <w:bottom w:val="none" w:color="auto" w:sz="0" w:space="0"/>
                <w:right w:val="none" w:color="auto" w:sz="0" w:space="0"/>
                <w:between w:val="none" w:color="auto" w:sz="0" w:space="0"/>
              </w:pBdr>
              <w:jc w:val="center"/>
              <w:rPr>
                <w:rFonts w:hint="default" w:ascii="宋体" w:hAnsi="宋体" w:eastAsia="宋体"/>
                <w:bCs/>
                <w:sz w:val="24"/>
                <w:szCs w:val="24"/>
              </w:rPr>
            </w:pPr>
          </w:p>
        </w:tc>
        <w:tc>
          <w:tcPr>
            <w:tcW w:w="709" w:type="dxa"/>
            <w:tcMar>
              <w:top w:w="79" w:type="dxa"/>
              <w:left w:w="79" w:type="dxa"/>
              <w:bottom w:w="79" w:type="dxa"/>
              <w:right w:w="79" w:type="dxa"/>
            </w:tcMar>
            <w:vAlign w:val="center"/>
          </w:tcPr>
          <w:p w14:paraId="611613B9">
            <w:pPr>
              <w:pBdr>
                <w:top w:val="none" w:color="auto" w:sz="0" w:space="0"/>
                <w:left w:val="none" w:color="auto" w:sz="0" w:space="0"/>
                <w:bottom w:val="none" w:color="auto" w:sz="0" w:space="0"/>
                <w:right w:val="none" w:color="auto" w:sz="0" w:space="0"/>
                <w:between w:val="none" w:color="auto" w:sz="0" w:space="0"/>
              </w:pBdr>
              <w:rPr>
                <w:rFonts w:hint="default" w:ascii="宋体" w:hAnsi="宋体" w:eastAsia="宋体"/>
                <w:bCs/>
                <w:sz w:val="24"/>
                <w:szCs w:val="24"/>
              </w:rPr>
            </w:pPr>
            <w:r>
              <w:rPr>
                <w:rFonts w:ascii="宋体" w:hAnsi="宋体" w:eastAsia="宋体"/>
                <w:bCs/>
                <w:sz w:val="24"/>
                <w:szCs w:val="24"/>
              </w:rPr>
              <w:t>咨询</w:t>
            </w:r>
            <w:r>
              <w:rPr>
                <w:rFonts w:hint="default" w:ascii="宋体" w:hAnsi="宋体" w:eastAsia="宋体"/>
                <w:bCs/>
                <w:sz w:val="24"/>
                <w:szCs w:val="24"/>
              </w:rPr>
              <w:br w:type="textWrapping"/>
            </w:r>
            <w:r>
              <w:rPr>
                <w:rFonts w:ascii="宋体" w:hAnsi="宋体" w:eastAsia="宋体"/>
                <w:bCs/>
                <w:sz w:val="24"/>
                <w:szCs w:val="24"/>
              </w:rPr>
              <w:t>专家</w:t>
            </w:r>
            <w:r>
              <w:rPr>
                <w:rFonts w:hint="default" w:ascii="宋体" w:hAnsi="宋体" w:eastAsia="宋体"/>
                <w:bCs/>
                <w:sz w:val="24"/>
                <w:szCs w:val="24"/>
              </w:rPr>
              <w:br w:type="textWrapping"/>
            </w:r>
            <w:r>
              <w:rPr>
                <w:rFonts w:ascii="宋体" w:hAnsi="宋体" w:eastAsia="宋体"/>
                <w:bCs/>
                <w:sz w:val="24"/>
                <w:szCs w:val="24"/>
              </w:rPr>
              <w:t>管理</w:t>
            </w:r>
          </w:p>
        </w:tc>
        <w:tc>
          <w:tcPr>
            <w:tcW w:w="4677" w:type="dxa"/>
            <w:vAlign w:val="center"/>
          </w:tcPr>
          <w:p w14:paraId="6CDE5127">
            <w:pPr>
              <w:pBdr>
                <w:top w:val="none" w:color="auto" w:sz="0" w:space="0"/>
                <w:left w:val="none" w:color="auto" w:sz="0" w:space="0"/>
                <w:bottom w:val="none" w:color="auto" w:sz="0" w:space="0"/>
                <w:right w:val="none" w:color="auto" w:sz="0" w:space="0"/>
                <w:between w:val="none" w:color="auto" w:sz="0" w:space="0"/>
              </w:pBdr>
              <w:rPr>
                <w:rFonts w:hint="default" w:ascii="宋体" w:hAnsi="宋体" w:eastAsia="宋体"/>
                <w:bCs/>
                <w:sz w:val="24"/>
                <w:szCs w:val="24"/>
              </w:rPr>
            </w:pPr>
            <w:r>
              <w:rPr>
                <w:rFonts w:ascii="宋体" w:hAnsi="宋体" w:eastAsia="宋体"/>
                <w:bCs/>
                <w:sz w:val="24"/>
                <w:szCs w:val="24"/>
              </w:rPr>
              <w:t>（1）专家信息管理</w:t>
            </w:r>
          </w:p>
          <w:p w14:paraId="27DC4945">
            <w:pPr>
              <w:pBdr>
                <w:top w:val="none" w:color="auto" w:sz="0" w:space="0"/>
                <w:left w:val="none" w:color="auto" w:sz="0" w:space="0"/>
                <w:bottom w:val="none" w:color="auto" w:sz="0" w:space="0"/>
                <w:right w:val="none" w:color="auto" w:sz="0" w:space="0"/>
                <w:between w:val="none" w:color="auto" w:sz="0" w:space="0"/>
              </w:pBdr>
              <w:rPr>
                <w:rFonts w:hint="default" w:ascii="宋体" w:hAnsi="宋体" w:eastAsia="宋体"/>
                <w:bCs/>
                <w:sz w:val="24"/>
                <w:szCs w:val="24"/>
              </w:rPr>
            </w:pPr>
            <w:r>
              <w:rPr>
                <w:rFonts w:ascii="宋体" w:hAnsi="宋体" w:eastAsia="宋体"/>
                <w:bCs/>
                <w:sz w:val="24"/>
                <w:szCs w:val="24"/>
              </w:rPr>
              <w:t>提供专家信息管理功能，包括但不限于：专家照片、姓名、性别、头衔、研究方向、专家简介、人物经历、获奖记录等。管理员在专家管理页面，提供“新建专家”功能，在线填写专家相关信息；在咨询配置中设置专家对外咨询的名额上限。并提供设置专家对外服务的状态功能：开启服务或暂不开启。</w:t>
            </w:r>
          </w:p>
          <w:p w14:paraId="48F39889">
            <w:pPr>
              <w:pBdr>
                <w:top w:val="none" w:color="auto" w:sz="0" w:space="0"/>
                <w:left w:val="none" w:color="auto" w:sz="0" w:space="0"/>
                <w:bottom w:val="none" w:color="auto" w:sz="0" w:space="0"/>
                <w:right w:val="none" w:color="auto" w:sz="0" w:space="0"/>
                <w:between w:val="none" w:color="auto" w:sz="0" w:space="0"/>
              </w:pBdr>
              <w:rPr>
                <w:rFonts w:hint="default" w:ascii="宋体" w:hAnsi="宋体" w:eastAsia="宋体"/>
                <w:bCs/>
                <w:sz w:val="24"/>
                <w:szCs w:val="24"/>
              </w:rPr>
            </w:pPr>
            <w:r>
              <w:rPr>
                <w:rFonts w:ascii="宋体" w:hAnsi="宋体" w:eastAsia="宋体"/>
                <w:bCs/>
                <w:sz w:val="24"/>
                <w:szCs w:val="24"/>
              </w:rPr>
              <w:t>提供专家列表中的专家信息编辑功能，可以修改专家的相关信息。</w:t>
            </w:r>
          </w:p>
          <w:p w14:paraId="442F89A6">
            <w:pPr>
              <w:rPr>
                <w:rFonts w:hint="default" w:ascii="宋体" w:hAnsi="宋体" w:eastAsia="宋体"/>
                <w:bCs/>
                <w:sz w:val="24"/>
                <w:szCs w:val="24"/>
              </w:rPr>
            </w:pPr>
            <w:r>
              <w:rPr>
                <w:rFonts w:ascii="宋体" w:hAnsi="宋体" w:eastAsia="宋体"/>
                <w:bCs/>
                <w:sz w:val="24"/>
                <w:szCs w:val="24"/>
              </w:rPr>
              <w:t>（2）专家类型管理</w:t>
            </w:r>
          </w:p>
          <w:p w14:paraId="6EC082E3">
            <w:pPr>
              <w:rPr>
                <w:rFonts w:hint="default" w:ascii="宋体" w:hAnsi="宋体" w:eastAsia="宋体"/>
                <w:bCs/>
                <w:sz w:val="24"/>
                <w:szCs w:val="24"/>
              </w:rPr>
            </w:pPr>
            <w:r>
              <w:rPr>
                <w:rFonts w:ascii="宋体" w:hAnsi="宋体" w:eastAsia="宋体"/>
                <w:bCs/>
                <w:sz w:val="24"/>
                <w:szCs w:val="24"/>
              </w:rPr>
              <w:t>可针对专家擅长的领域进行分类管理，便于教师根据类型快速查询。</w:t>
            </w:r>
          </w:p>
          <w:p w14:paraId="6A6A39A5">
            <w:pPr>
              <w:rPr>
                <w:rFonts w:hint="default" w:ascii="宋体" w:hAnsi="宋体" w:eastAsia="宋体"/>
                <w:bCs/>
                <w:sz w:val="24"/>
                <w:szCs w:val="24"/>
              </w:rPr>
            </w:pPr>
            <w:r>
              <w:rPr>
                <w:rFonts w:ascii="宋体" w:hAnsi="宋体" w:eastAsia="宋体"/>
                <w:bCs/>
                <w:sz w:val="24"/>
                <w:szCs w:val="24"/>
              </w:rPr>
              <w:t>（3）专家状态管理</w:t>
            </w:r>
          </w:p>
          <w:p w14:paraId="679A9D47">
            <w:pPr>
              <w:rPr>
                <w:rFonts w:hint="default" w:ascii="宋体" w:hAnsi="宋体" w:eastAsia="宋体"/>
                <w:bCs/>
                <w:sz w:val="24"/>
                <w:szCs w:val="24"/>
              </w:rPr>
            </w:pPr>
            <w:r>
              <w:rPr>
                <w:rFonts w:ascii="宋体" w:hAnsi="宋体" w:eastAsia="宋体"/>
                <w:bCs/>
                <w:sz w:val="24"/>
                <w:szCs w:val="24"/>
              </w:rPr>
              <w:t>管理员可根据专家每年服务次数设置上限，已服务次数达到限额后系统自动变换专家状态。专家因故不能提供服务时，管理员亦可手动调整专家服务状态。</w:t>
            </w:r>
          </w:p>
        </w:tc>
        <w:tc>
          <w:tcPr>
            <w:tcW w:w="1134" w:type="dxa"/>
            <w:vMerge w:val="continue"/>
            <w:tcMar>
              <w:top w:w="79" w:type="dxa"/>
              <w:left w:w="79" w:type="dxa"/>
              <w:bottom w:w="79" w:type="dxa"/>
              <w:right w:w="79" w:type="dxa"/>
            </w:tcMar>
            <w:vAlign w:val="center"/>
          </w:tcPr>
          <w:p w14:paraId="31908F7A">
            <w:pPr>
              <w:pBdr>
                <w:top w:val="none" w:color="auto" w:sz="0" w:space="0"/>
                <w:left w:val="none" w:color="auto" w:sz="0" w:space="0"/>
                <w:bottom w:val="none" w:color="auto" w:sz="0" w:space="0"/>
                <w:right w:val="none" w:color="auto" w:sz="0" w:space="0"/>
                <w:between w:val="none" w:color="auto" w:sz="0" w:space="0"/>
              </w:pBdr>
              <w:jc w:val="center"/>
              <w:rPr>
                <w:rFonts w:hint="default" w:ascii="宋体" w:hAnsi="宋体" w:eastAsia="宋体"/>
                <w:bCs/>
                <w:sz w:val="24"/>
                <w:szCs w:val="24"/>
              </w:rPr>
            </w:pPr>
          </w:p>
        </w:tc>
      </w:tr>
      <w:tr w14:paraId="60F339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704" w:type="dxa"/>
            <w:vMerge w:val="continue"/>
            <w:tcMar>
              <w:top w:w="79" w:type="dxa"/>
              <w:left w:w="79" w:type="dxa"/>
              <w:bottom w:w="79" w:type="dxa"/>
              <w:right w:w="79" w:type="dxa"/>
            </w:tcMar>
            <w:vAlign w:val="center"/>
          </w:tcPr>
          <w:p w14:paraId="782C5D2F">
            <w:pPr>
              <w:pBdr>
                <w:top w:val="none" w:color="auto" w:sz="0" w:space="0"/>
                <w:left w:val="none" w:color="auto" w:sz="0" w:space="0"/>
                <w:bottom w:val="none" w:color="auto" w:sz="0" w:space="0"/>
                <w:right w:val="none" w:color="auto" w:sz="0" w:space="0"/>
                <w:between w:val="none" w:color="auto" w:sz="0" w:space="0"/>
              </w:pBdr>
              <w:jc w:val="center"/>
              <w:rPr>
                <w:rFonts w:hint="default" w:ascii="宋体" w:hAnsi="宋体" w:eastAsia="宋体"/>
                <w:bCs/>
                <w:sz w:val="24"/>
                <w:szCs w:val="24"/>
              </w:rPr>
            </w:pPr>
          </w:p>
        </w:tc>
        <w:tc>
          <w:tcPr>
            <w:tcW w:w="1276" w:type="dxa"/>
            <w:vMerge w:val="continue"/>
            <w:tcMar>
              <w:top w:w="79" w:type="dxa"/>
              <w:left w:w="79" w:type="dxa"/>
              <w:bottom w:w="79" w:type="dxa"/>
              <w:right w:w="79" w:type="dxa"/>
            </w:tcMar>
            <w:vAlign w:val="center"/>
          </w:tcPr>
          <w:p w14:paraId="58FFDF4A">
            <w:pPr>
              <w:pBdr>
                <w:top w:val="none" w:color="auto" w:sz="0" w:space="0"/>
                <w:left w:val="none" w:color="auto" w:sz="0" w:space="0"/>
                <w:bottom w:val="none" w:color="auto" w:sz="0" w:space="0"/>
                <w:right w:val="none" w:color="auto" w:sz="0" w:space="0"/>
                <w:between w:val="none" w:color="auto" w:sz="0" w:space="0"/>
              </w:pBdr>
              <w:jc w:val="center"/>
              <w:rPr>
                <w:rFonts w:hint="default" w:ascii="宋体" w:hAnsi="宋体" w:eastAsia="宋体"/>
                <w:bCs/>
                <w:sz w:val="24"/>
                <w:szCs w:val="24"/>
              </w:rPr>
            </w:pPr>
          </w:p>
        </w:tc>
        <w:tc>
          <w:tcPr>
            <w:tcW w:w="709" w:type="dxa"/>
            <w:tcMar>
              <w:top w:w="79" w:type="dxa"/>
              <w:left w:w="79" w:type="dxa"/>
              <w:bottom w:w="79" w:type="dxa"/>
              <w:right w:w="79" w:type="dxa"/>
            </w:tcMar>
            <w:vAlign w:val="center"/>
          </w:tcPr>
          <w:p w14:paraId="6B26069A">
            <w:pPr>
              <w:pBdr>
                <w:top w:val="none" w:color="auto" w:sz="0" w:space="0"/>
                <w:left w:val="none" w:color="auto" w:sz="0" w:space="0"/>
                <w:bottom w:val="none" w:color="auto" w:sz="0" w:space="0"/>
                <w:right w:val="none" w:color="auto" w:sz="0" w:space="0"/>
                <w:between w:val="none" w:color="auto" w:sz="0" w:space="0"/>
              </w:pBdr>
              <w:rPr>
                <w:rFonts w:hint="default" w:ascii="宋体" w:hAnsi="宋体" w:eastAsia="宋体"/>
                <w:bCs/>
                <w:sz w:val="24"/>
                <w:szCs w:val="24"/>
              </w:rPr>
            </w:pPr>
            <w:r>
              <w:rPr>
                <w:rFonts w:ascii="宋体" w:hAnsi="宋体" w:eastAsia="宋体"/>
                <w:bCs/>
                <w:sz w:val="24"/>
                <w:szCs w:val="24"/>
              </w:rPr>
              <w:tab/>
            </w:r>
            <w:r>
              <w:rPr>
                <w:rFonts w:ascii="宋体" w:hAnsi="宋体" w:eastAsia="宋体"/>
                <w:bCs/>
                <w:sz w:val="24"/>
                <w:szCs w:val="24"/>
              </w:rPr>
              <w:t>咨询</w:t>
            </w:r>
            <w:r>
              <w:rPr>
                <w:rFonts w:hint="default" w:ascii="宋体" w:hAnsi="宋体" w:eastAsia="宋体"/>
                <w:bCs/>
                <w:sz w:val="24"/>
                <w:szCs w:val="24"/>
              </w:rPr>
              <w:br w:type="textWrapping"/>
            </w:r>
            <w:r>
              <w:rPr>
                <w:rFonts w:ascii="宋体" w:hAnsi="宋体" w:eastAsia="宋体"/>
                <w:bCs/>
                <w:sz w:val="24"/>
                <w:szCs w:val="24"/>
              </w:rPr>
              <w:t>类型</w:t>
            </w:r>
            <w:r>
              <w:rPr>
                <w:rFonts w:hint="default" w:ascii="宋体" w:hAnsi="宋体" w:eastAsia="宋体"/>
                <w:bCs/>
                <w:sz w:val="24"/>
                <w:szCs w:val="24"/>
              </w:rPr>
              <w:br w:type="textWrapping"/>
            </w:r>
            <w:r>
              <w:rPr>
                <w:rFonts w:ascii="宋体" w:hAnsi="宋体" w:eastAsia="宋体"/>
                <w:bCs/>
                <w:sz w:val="24"/>
                <w:szCs w:val="24"/>
              </w:rPr>
              <w:t>管理</w:t>
            </w:r>
          </w:p>
        </w:tc>
        <w:tc>
          <w:tcPr>
            <w:tcW w:w="4677" w:type="dxa"/>
            <w:vAlign w:val="center"/>
          </w:tcPr>
          <w:p w14:paraId="78340A94">
            <w:pPr>
              <w:pBdr>
                <w:top w:val="none" w:color="auto" w:sz="0" w:space="0"/>
                <w:left w:val="none" w:color="auto" w:sz="0" w:space="0"/>
                <w:bottom w:val="none" w:color="auto" w:sz="0" w:space="0"/>
                <w:right w:val="none" w:color="auto" w:sz="0" w:space="0"/>
                <w:between w:val="none" w:color="auto" w:sz="0" w:space="0"/>
              </w:pBdr>
              <w:rPr>
                <w:rFonts w:hint="default" w:ascii="宋体" w:hAnsi="宋体" w:eastAsia="宋体"/>
                <w:bCs/>
                <w:sz w:val="24"/>
                <w:szCs w:val="24"/>
              </w:rPr>
            </w:pPr>
            <w:r>
              <w:rPr>
                <w:rFonts w:ascii="宋体" w:hAnsi="宋体" w:eastAsia="宋体"/>
                <w:bCs/>
                <w:sz w:val="24"/>
                <w:szCs w:val="24"/>
              </w:rPr>
              <w:t>（1）类型设置</w:t>
            </w:r>
          </w:p>
          <w:p w14:paraId="7F86CC98">
            <w:pPr>
              <w:pBdr>
                <w:top w:val="none" w:color="auto" w:sz="0" w:space="0"/>
                <w:left w:val="none" w:color="auto" w:sz="0" w:space="0"/>
                <w:bottom w:val="none" w:color="auto" w:sz="0" w:space="0"/>
                <w:right w:val="none" w:color="auto" w:sz="0" w:space="0"/>
                <w:between w:val="none" w:color="auto" w:sz="0" w:space="0"/>
              </w:pBdr>
              <w:rPr>
                <w:rFonts w:hint="default" w:ascii="宋体" w:hAnsi="宋体" w:eastAsia="宋体"/>
                <w:bCs/>
                <w:sz w:val="24"/>
                <w:szCs w:val="24"/>
              </w:rPr>
            </w:pPr>
            <w:r>
              <w:rPr>
                <w:rFonts w:ascii="宋体" w:hAnsi="宋体" w:eastAsia="宋体"/>
                <w:bCs/>
                <w:sz w:val="24"/>
                <w:szCs w:val="24"/>
              </w:rPr>
              <w:t>管理员可根据业务需求设置不同的咨询类型，如：教学问答、一对一教学咨询、教学诊断等。</w:t>
            </w:r>
          </w:p>
          <w:p w14:paraId="7163D495">
            <w:pPr>
              <w:rPr>
                <w:rFonts w:hint="default" w:ascii="宋体" w:hAnsi="宋体" w:eastAsia="宋体"/>
                <w:bCs/>
                <w:sz w:val="24"/>
                <w:szCs w:val="24"/>
              </w:rPr>
            </w:pPr>
            <w:r>
              <w:rPr>
                <w:rFonts w:ascii="宋体" w:hAnsi="宋体" w:eastAsia="宋体"/>
                <w:bCs/>
                <w:sz w:val="24"/>
                <w:szCs w:val="24"/>
              </w:rPr>
              <w:t>（2）关联专家</w:t>
            </w:r>
          </w:p>
          <w:p w14:paraId="2CD8314A">
            <w:pPr>
              <w:pBdr>
                <w:top w:val="none" w:color="auto" w:sz="0" w:space="0"/>
                <w:left w:val="none" w:color="auto" w:sz="0" w:space="0"/>
                <w:bottom w:val="none" w:color="auto" w:sz="0" w:space="0"/>
                <w:right w:val="none" w:color="auto" w:sz="0" w:space="0"/>
                <w:between w:val="none" w:color="auto" w:sz="0" w:space="0"/>
              </w:pBdr>
              <w:rPr>
                <w:rFonts w:hint="default" w:ascii="宋体" w:hAnsi="宋体" w:eastAsia="宋体"/>
                <w:bCs/>
                <w:sz w:val="24"/>
                <w:szCs w:val="24"/>
              </w:rPr>
            </w:pPr>
            <w:r>
              <w:rPr>
                <w:rFonts w:ascii="宋体" w:hAnsi="宋体" w:eastAsia="宋体"/>
                <w:bCs/>
                <w:sz w:val="24"/>
                <w:szCs w:val="24"/>
              </w:rPr>
              <w:t>添加专家时，可将专家与咨询类型进行关联，教师浏览专家信息时可根据咨询类型快速查找信息。</w:t>
            </w:r>
          </w:p>
        </w:tc>
        <w:tc>
          <w:tcPr>
            <w:tcW w:w="1134" w:type="dxa"/>
            <w:vMerge w:val="continue"/>
            <w:tcMar>
              <w:top w:w="79" w:type="dxa"/>
              <w:left w:w="79" w:type="dxa"/>
              <w:bottom w:w="79" w:type="dxa"/>
              <w:right w:w="79" w:type="dxa"/>
            </w:tcMar>
            <w:vAlign w:val="center"/>
          </w:tcPr>
          <w:p w14:paraId="7CE7BAB9">
            <w:pPr>
              <w:pBdr>
                <w:top w:val="none" w:color="auto" w:sz="0" w:space="0"/>
                <w:left w:val="none" w:color="auto" w:sz="0" w:space="0"/>
                <w:bottom w:val="none" w:color="auto" w:sz="0" w:space="0"/>
                <w:right w:val="none" w:color="auto" w:sz="0" w:space="0"/>
                <w:between w:val="none" w:color="auto" w:sz="0" w:space="0"/>
              </w:pBdr>
              <w:jc w:val="center"/>
              <w:rPr>
                <w:rFonts w:hint="default" w:ascii="宋体" w:hAnsi="宋体" w:eastAsia="宋体"/>
                <w:bCs/>
                <w:sz w:val="24"/>
                <w:szCs w:val="24"/>
              </w:rPr>
            </w:pPr>
          </w:p>
        </w:tc>
      </w:tr>
      <w:tr w14:paraId="43F25F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704" w:type="dxa"/>
            <w:vMerge w:val="continue"/>
            <w:tcMar>
              <w:top w:w="79" w:type="dxa"/>
              <w:left w:w="79" w:type="dxa"/>
              <w:bottom w:w="79" w:type="dxa"/>
              <w:right w:w="79" w:type="dxa"/>
            </w:tcMar>
            <w:vAlign w:val="center"/>
          </w:tcPr>
          <w:p w14:paraId="55AFF887">
            <w:pPr>
              <w:pBdr>
                <w:top w:val="none" w:color="auto" w:sz="0" w:space="0"/>
                <w:left w:val="none" w:color="auto" w:sz="0" w:space="0"/>
                <w:bottom w:val="none" w:color="auto" w:sz="0" w:space="0"/>
                <w:right w:val="none" w:color="auto" w:sz="0" w:space="0"/>
                <w:between w:val="none" w:color="auto" w:sz="0" w:space="0"/>
              </w:pBdr>
              <w:jc w:val="center"/>
              <w:rPr>
                <w:rFonts w:hint="default" w:ascii="宋体" w:hAnsi="宋体" w:eastAsia="宋体"/>
                <w:bCs/>
                <w:sz w:val="24"/>
                <w:szCs w:val="24"/>
              </w:rPr>
            </w:pPr>
          </w:p>
        </w:tc>
        <w:tc>
          <w:tcPr>
            <w:tcW w:w="1276" w:type="dxa"/>
            <w:vMerge w:val="continue"/>
            <w:tcMar>
              <w:top w:w="79" w:type="dxa"/>
              <w:left w:w="79" w:type="dxa"/>
              <w:bottom w:w="79" w:type="dxa"/>
              <w:right w:w="79" w:type="dxa"/>
            </w:tcMar>
            <w:vAlign w:val="center"/>
          </w:tcPr>
          <w:p w14:paraId="5ADE3965">
            <w:pPr>
              <w:pBdr>
                <w:top w:val="none" w:color="auto" w:sz="0" w:space="0"/>
                <w:left w:val="none" w:color="auto" w:sz="0" w:space="0"/>
                <w:bottom w:val="none" w:color="auto" w:sz="0" w:space="0"/>
                <w:right w:val="none" w:color="auto" w:sz="0" w:space="0"/>
                <w:between w:val="none" w:color="auto" w:sz="0" w:space="0"/>
              </w:pBdr>
              <w:jc w:val="center"/>
              <w:rPr>
                <w:rFonts w:hint="default" w:ascii="宋体" w:hAnsi="宋体" w:eastAsia="宋体"/>
                <w:bCs/>
                <w:sz w:val="24"/>
                <w:szCs w:val="24"/>
              </w:rPr>
            </w:pPr>
          </w:p>
        </w:tc>
        <w:tc>
          <w:tcPr>
            <w:tcW w:w="709" w:type="dxa"/>
            <w:tcMar>
              <w:top w:w="79" w:type="dxa"/>
              <w:left w:w="79" w:type="dxa"/>
              <w:bottom w:w="79" w:type="dxa"/>
              <w:right w:w="79" w:type="dxa"/>
            </w:tcMar>
            <w:vAlign w:val="center"/>
          </w:tcPr>
          <w:p w14:paraId="1A4CB62E">
            <w:pPr>
              <w:pBdr>
                <w:top w:val="none" w:color="auto" w:sz="0" w:space="0"/>
                <w:left w:val="none" w:color="auto" w:sz="0" w:space="0"/>
                <w:bottom w:val="none" w:color="auto" w:sz="0" w:space="0"/>
                <w:right w:val="none" w:color="auto" w:sz="0" w:space="0"/>
                <w:between w:val="none" w:color="auto" w:sz="0" w:space="0"/>
              </w:pBdr>
              <w:rPr>
                <w:rFonts w:hint="default" w:ascii="宋体" w:hAnsi="宋体" w:eastAsia="宋体"/>
                <w:bCs/>
                <w:sz w:val="24"/>
                <w:szCs w:val="24"/>
              </w:rPr>
            </w:pPr>
            <w:r>
              <w:rPr>
                <w:rFonts w:ascii="宋体" w:hAnsi="宋体" w:eastAsia="宋体"/>
                <w:bCs/>
                <w:sz w:val="24"/>
                <w:szCs w:val="24"/>
              </w:rPr>
              <w:t>咨询</w:t>
            </w:r>
            <w:r>
              <w:rPr>
                <w:rFonts w:hint="default" w:ascii="宋体" w:hAnsi="宋体" w:eastAsia="宋体"/>
                <w:bCs/>
                <w:sz w:val="24"/>
                <w:szCs w:val="24"/>
              </w:rPr>
              <w:br w:type="textWrapping"/>
            </w:r>
            <w:r>
              <w:rPr>
                <w:rFonts w:ascii="宋体" w:hAnsi="宋体" w:eastAsia="宋体"/>
                <w:bCs/>
                <w:sz w:val="24"/>
                <w:szCs w:val="24"/>
              </w:rPr>
              <w:t>预约</w:t>
            </w:r>
            <w:r>
              <w:rPr>
                <w:rFonts w:hint="default" w:ascii="宋体" w:hAnsi="宋体" w:eastAsia="宋体"/>
                <w:bCs/>
                <w:sz w:val="24"/>
                <w:szCs w:val="24"/>
              </w:rPr>
              <w:br w:type="textWrapping"/>
            </w:r>
            <w:r>
              <w:rPr>
                <w:rFonts w:ascii="宋体" w:hAnsi="宋体" w:eastAsia="宋体"/>
                <w:bCs/>
                <w:sz w:val="24"/>
                <w:szCs w:val="24"/>
              </w:rPr>
              <w:t>管理</w:t>
            </w:r>
          </w:p>
        </w:tc>
        <w:tc>
          <w:tcPr>
            <w:tcW w:w="4677" w:type="dxa"/>
            <w:vAlign w:val="center"/>
          </w:tcPr>
          <w:p w14:paraId="3C163829">
            <w:pPr>
              <w:pBdr>
                <w:top w:val="none" w:color="auto" w:sz="0" w:space="0"/>
                <w:left w:val="none" w:color="auto" w:sz="0" w:space="0"/>
                <w:bottom w:val="none" w:color="auto" w:sz="0" w:space="0"/>
                <w:right w:val="none" w:color="auto" w:sz="0" w:space="0"/>
                <w:between w:val="none" w:color="auto" w:sz="0" w:space="0"/>
              </w:pBdr>
              <w:rPr>
                <w:rFonts w:hint="default" w:ascii="宋体" w:hAnsi="宋体" w:eastAsia="宋体"/>
                <w:bCs/>
                <w:sz w:val="24"/>
                <w:szCs w:val="24"/>
              </w:rPr>
            </w:pPr>
            <w:r>
              <w:rPr>
                <w:rFonts w:ascii="宋体" w:hAnsi="宋体" w:eastAsia="宋体"/>
                <w:bCs/>
                <w:sz w:val="24"/>
                <w:szCs w:val="24"/>
              </w:rPr>
              <w:t>支持设置专家每年服务次数上限，但不对外公示可预约时间。教师提交预约申请后，由管理员协调咨询专家时间和咨询服务地点。管理员创建预约服务订单，系统自动发送消息给预约人、受约咨询专家。</w:t>
            </w:r>
          </w:p>
          <w:p w14:paraId="3B75596E">
            <w:pPr>
              <w:pBdr>
                <w:top w:val="none" w:color="auto" w:sz="0" w:space="0"/>
                <w:left w:val="none" w:color="auto" w:sz="0" w:space="0"/>
                <w:bottom w:val="none" w:color="auto" w:sz="0" w:space="0"/>
                <w:right w:val="none" w:color="auto" w:sz="0" w:space="0"/>
                <w:between w:val="none" w:color="auto" w:sz="0" w:space="0"/>
              </w:pBdr>
              <w:rPr>
                <w:rFonts w:hint="default" w:ascii="宋体" w:hAnsi="宋体" w:eastAsia="宋体"/>
                <w:bCs/>
                <w:sz w:val="24"/>
                <w:szCs w:val="24"/>
              </w:rPr>
            </w:pPr>
            <w:r>
              <w:rPr>
                <w:rFonts w:ascii="宋体" w:hAnsi="宋体" w:eastAsia="宋体"/>
                <w:bCs/>
                <w:sz w:val="24"/>
                <w:szCs w:val="24"/>
              </w:rPr>
              <w:t>（1）查看预约状态</w:t>
            </w:r>
          </w:p>
          <w:p w14:paraId="1FF4B751">
            <w:pPr>
              <w:pBdr>
                <w:top w:val="none" w:color="auto" w:sz="0" w:space="0"/>
                <w:left w:val="none" w:color="auto" w:sz="0" w:space="0"/>
                <w:bottom w:val="none" w:color="auto" w:sz="0" w:space="0"/>
                <w:right w:val="none" w:color="auto" w:sz="0" w:space="0"/>
                <w:between w:val="none" w:color="auto" w:sz="0" w:space="0"/>
              </w:pBdr>
              <w:rPr>
                <w:rFonts w:hint="default" w:ascii="宋体" w:hAnsi="宋体" w:eastAsia="宋体"/>
                <w:bCs/>
                <w:sz w:val="24"/>
                <w:szCs w:val="24"/>
              </w:rPr>
            </w:pPr>
            <w:r>
              <w:rPr>
                <w:rFonts w:ascii="宋体" w:hAnsi="宋体" w:eastAsia="宋体"/>
                <w:bCs/>
                <w:sz w:val="24"/>
                <w:szCs w:val="24"/>
              </w:rPr>
              <w:t>管理员可通过预约管理订单查看各个订单的状态，主要有待分配、已预约、咨询中、已完成、已取消五种状态。</w:t>
            </w:r>
          </w:p>
          <w:p w14:paraId="0A29568D">
            <w:pPr>
              <w:widowControl/>
              <w:spacing w:line="360" w:lineRule="auto"/>
              <w:jc w:val="left"/>
              <w:rPr>
                <w:rFonts w:hint="default" w:ascii="宋体" w:hAnsi="宋体" w:eastAsia="宋体"/>
                <w:bCs/>
                <w:sz w:val="24"/>
                <w:szCs w:val="24"/>
              </w:rPr>
            </w:pPr>
            <w:bookmarkStart w:id="3" w:name="_Toc45009821"/>
            <w:bookmarkStart w:id="4" w:name="_Toc106617511"/>
            <w:r>
              <w:rPr>
                <w:rFonts w:ascii="宋体" w:hAnsi="宋体" w:eastAsia="宋体"/>
                <w:bCs/>
                <w:sz w:val="24"/>
                <w:szCs w:val="24"/>
              </w:rPr>
              <w:t>（2）分配专家</w:t>
            </w:r>
            <w:bookmarkEnd w:id="3"/>
            <w:bookmarkEnd w:id="4"/>
          </w:p>
          <w:p w14:paraId="6EEA1492">
            <w:pPr>
              <w:rPr>
                <w:rFonts w:hint="default" w:ascii="宋体" w:hAnsi="宋体" w:eastAsia="宋体"/>
                <w:bCs/>
                <w:sz w:val="24"/>
                <w:szCs w:val="24"/>
              </w:rPr>
            </w:pPr>
            <w:r>
              <w:rPr>
                <w:rFonts w:ascii="宋体" w:hAnsi="宋体" w:eastAsia="宋体"/>
                <w:bCs/>
                <w:sz w:val="24"/>
                <w:szCs w:val="24"/>
              </w:rPr>
              <w:t>管理员从预约订单列表中对未选择专家的预约业务分配专家；也可点击进入详情，在详情页选择分配专家按钮进行分配。</w:t>
            </w:r>
          </w:p>
          <w:p w14:paraId="25240B78">
            <w:pPr>
              <w:rPr>
                <w:rFonts w:hint="default" w:ascii="宋体" w:hAnsi="宋体" w:eastAsia="宋体"/>
                <w:bCs/>
                <w:sz w:val="24"/>
                <w:szCs w:val="24"/>
              </w:rPr>
            </w:pPr>
            <w:r>
              <w:rPr>
                <w:rFonts w:ascii="宋体" w:hAnsi="宋体" w:eastAsia="宋体"/>
                <w:bCs/>
                <w:sz w:val="24"/>
                <w:szCs w:val="24"/>
              </w:rPr>
              <w:t>（3）分配时间</w:t>
            </w:r>
          </w:p>
          <w:p w14:paraId="72D8B9C1">
            <w:pPr>
              <w:rPr>
                <w:rFonts w:hint="default" w:ascii="宋体" w:hAnsi="宋体" w:eastAsia="宋体"/>
                <w:bCs/>
                <w:sz w:val="24"/>
                <w:szCs w:val="24"/>
              </w:rPr>
            </w:pPr>
            <w:r>
              <w:rPr>
                <w:rFonts w:ascii="宋体" w:hAnsi="宋体" w:eastAsia="宋体"/>
                <w:bCs/>
                <w:sz w:val="24"/>
                <w:szCs w:val="24"/>
              </w:rPr>
              <w:t>管理员可从预约订单列表中选择分配时间按钮分配时间；也可点击进入详情页，选择分配时间按钮进行分配。当分配完时间后，教师和专家都会收到相应的提醒。</w:t>
            </w:r>
          </w:p>
          <w:p w14:paraId="7F5B2608">
            <w:pPr>
              <w:rPr>
                <w:rFonts w:hint="default" w:ascii="宋体" w:hAnsi="宋体" w:eastAsia="宋体"/>
                <w:bCs/>
                <w:sz w:val="24"/>
                <w:szCs w:val="24"/>
              </w:rPr>
            </w:pPr>
            <w:r>
              <w:rPr>
                <w:rFonts w:ascii="宋体" w:hAnsi="宋体" w:eastAsia="宋体"/>
                <w:bCs/>
                <w:sz w:val="24"/>
                <w:szCs w:val="24"/>
              </w:rPr>
              <w:t>（4）取消订单</w:t>
            </w:r>
          </w:p>
          <w:p w14:paraId="66CF09F3">
            <w:pPr>
              <w:rPr>
                <w:rFonts w:hint="default" w:ascii="宋体" w:hAnsi="宋体" w:eastAsia="宋体"/>
                <w:bCs/>
                <w:sz w:val="24"/>
                <w:szCs w:val="24"/>
              </w:rPr>
            </w:pPr>
            <w:r>
              <w:rPr>
                <w:rFonts w:ascii="宋体" w:hAnsi="宋体" w:eastAsia="宋体"/>
                <w:bCs/>
                <w:sz w:val="24"/>
                <w:szCs w:val="24"/>
              </w:rPr>
              <w:t>进入预约详情页中，当该咨询预约的状态处于“待分配”“已预约”，管理员都可以根据实际需求，对预约活动进行取消操作。</w:t>
            </w:r>
          </w:p>
          <w:p w14:paraId="2FBD91A9">
            <w:pPr>
              <w:rPr>
                <w:rFonts w:hint="default" w:ascii="宋体" w:hAnsi="宋体" w:eastAsia="宋体"/>
                <w:bCs/>
                <w:sz w:val="24"/>
                <w:szCs w:val="24"/>
              </w:rPr>
            </w:pPr>
            <w:r>
              <w:rPr>
                <w:rFonts w:ascii="宋体" w:hAnsi="宋体" w:eastAsia="宋体"/>
                <w:bCs/>
                <w:sz w:val="24"/>
                <w:szCs w:val="24"/>
              </w:rPr>
              <w:t>（5）结束咨询</w:t>
            </w:r>
          </w:p>
          <w:p w14:paraId="0BF5B810">
            <w:pPr>
              <w:pBdr>
                <w:top w:val="none" w:color="auto" w:sz="0" w:space="0"/>
                <w:left w:val="none" w:color="auto" w:sz="0" w:space="0"/>
                <w:bottom w:val="none" w:color="auto" w:sz="0" w:space="0"/>
                <w:right w:val="none" w:color="auto" w:sz="0" w:space="0"/>
                <w:between w:val="none" w:color="auto" w:sz="0" w:space="0"/>
              </w:pBdr>
              <w:rPr>
                <w:rFonts w:hint="default" w:ascii="宋体" w:hAnsi="宋体" w:eastAsia="宋体"/>
                <w:bCs/>
                <w:sz w:val="24"/>
                <w:szCs w:val="24"/>
              </w:rPr>
            </w:pPr>
            <w:r>
              <w:rPr>
                <w:rFonts w:ascii="宋体" w:hAnsi="宋体" w:eastAsia="宋体"/>
                <w:bCs/>
                <w:sz w:val="24"/>
                <w:szCs w:val="24"/>
              </w:rPr>
              <w:t>进入预约详情页中，当该咨询预约的状态到达“咨询中”的阶段，管理员也可根据实际需求，对预约活动进行结束操作。</w:t>
            </w:r>
          </w:p>
        </w:tc>
        <w:tc>
          <w:tcPr>
            <w:tcW w:w="1134" w:type="dxa"/>
            <w:vMerge w:val="continue"/>
            <w:tcMar>
              <w:top w:w="79" w:type="dxa"/>
              <w:left w:w="79" w:type="dxa"/>
              <w:bottom w:w="79" w:type="dxa"/>
              <w:right w:w="79" w:type="dxa"/>
            </w:tcMar>
            <w:vAlign w:val="center"/>
          </w:tcPr>
          <w:p w14:paraId="6CA2FDE0">
            <w:pPr>
              <w:pBdr>
                <w:top w:val="none" w:color="auto" w:sz="0" w:space="0"/>
                <w:left w:val="none" w:color="auto" w:sz="0" w:space="0"/>
                <w:bottom w:val="none" w:color="auto" w:sz="0" w:space="0"/>
                <w:right w:val="none" w:color="auto" w:sz="0" w:space="0"/>
                <w:between w:val="none" w:color="auto" w:sz="0" w:space="0"/>
              </w:pBdr>
              <w:jc w:val="center"/>
              <w:rPr>
                <w:rFonts w:hint="default" w:ascii="宋体" w:hAnsi="宋体" w:eastAsia="宋体"/>
                <w:bCs/>
                <w:sz w:val="24"/>
                <w:szCs w:val="24"/>
              </w:rPr>
            </w:pPr>
          </w:p>
        </w:tc>
      </w:tr>
    </w:tbl>
    <w:p w14:paraId="1AA686D2">
      <w:pPr>
        <w:spacing w:before="240" w:line="360" w:lineRule="auto"/>
        <w:rPr>
          <w:rFonts w:hint="default" w:ascii="宋体" w:hAnsi="宋体" w:eastAsia="宋体"/>
          <w:b/>
          <w:sz w:val="24"/>
          <w:szCs w:val="24"/>
        </w:rPr>
      </w:pPr>
      <w:r>
        <w:rPr>
          <w:rFonts w:ascii="宋体" w:hAnsi="宋体" w:eastAsia="宋体"/>
          <w:b/>
          <w:sz w:val="24"/>
          <w:szCs w:val="24"/>
        </w:rPr>
        <w:t>四、项目技术要求</w:t>
      </w:r>
    </w:p>
    <w:tbl>
      <w:tblPr>
        <w:tblStyle w:val="14"/>
        <w:tblW w:w="850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850"/>
        <w:gridCol w:w="7654"/>
      </w:tblGrid>
      <w:tr w14:paraId="66C02B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850" w:type="dxa"/>
            <w:tcMar>
              <w:top w:w="79" w:type="dxa"/>
              <w:left w:w="79" w:type="dxa"/>
              <w:bottom w:w="79" w:type="dxa"/>
              <w:right w:w="79" w:type="dxa"/>
            </w:tcMar>
            <w:vAlign w:val="center"/>
          </w:tcPr>
          <w:p w14:paraId="09421326">
            <w:pPr>
              <w:pStyle w:val="2"/>
              <w:ind w:firstLine="0"/>
              <w:jc w:val="center"/>
              <w:rPr>
                <w:rFonts w:hint="default" w:ascii="宋体" w:hAnsi="宋体" w:eastAsia="宋体"/>
                <w:b/>
                <w:sz w:val="24"/>
                <w:szCs w:val="24"/>
              </w:rPr>
            </w:pPr>
            <w:r>
              <w:rPr>
                <w:rFonts w:ascii="宋体" w:hAnsi="宋体" w:eastAsia="宋体" w:cs="微软雅黑"/>
                <w:b/>
                <w:sz w:val="24"/>
                <w:szCs w:val="24"/>
              </w:rPr>
              <w:t>序号</w:t>
            </w:r>
          </w:p>
        </w:tc>
        <w:tc>
          <w:tcPr>
            <w:tcW w:w="7654" w:type="dxa"/>
            <w:tcMar>
              <w:top w:w="79" w:type="dxa"/>
              <w:left w:w="79" w:type="dxa"/>
              <w:bottom w:w="79" w:type="dxa"/>
              <w:right w:w="79" w:type="dxa"/>
            </w:tcMar>
            <w:vAlign w:val="center"/>
          </w:tcPr>
          <w:p w14:paraId="46E55379">
            <w:pPr>
              <w:pStyle w:val="2"/>
              <w:ind w:firstLine="0"/>
              <w:jc w:val="center"/>
              <w:rPr>
                <w:rFonts w:hint="default" w:ascii="宋体" w:hAnsi="宋体" w:eastAsia="宋体"/>
                <w:b/>
                <w:sz w:val="24"/>
                <w:szCs w:val="24"/>
              </w:rPr>
            </w:pPr>
            <w:r>
              <w:rPr>
                <w:rFonts w:ascii="宋体" w:hAnsi="宋体" w:eastAsia="宋体" w:cs="微软雅黑"/>
                <w:b/>
                <w:sz w:val="24"/>
                <w:szCs w:val="24"/>
              </w:rPr>
              <w:t>项目技术要求</w:t>
            </w:r>
          </w:p>
        </w:tc>
      </w:tr>
      <w:tr w14:paraId="2AF18A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3" w:hRule="atLeast"/>
          <w:jc w:val="center"/>
        </w:trPr>
        <w:tc>
          <w:tcPr>
            <w:tcW w:w="850" w:type="dxa"/>
            <w:tcMar>
              <w:top w:w="79" w:type="dxa"/>
              <w:left w:w="79" w:type="dxa"/>
              <w:bottom w:w="79" w:type="dxa"/>
              <w:right w:w="79" w:type="dxa"/>
            </w:tcMar>
          </w:tcPr>
          <w:p w14:paraId="754E4EE8">
            <w:pPr>
              <w:pStyle w:val="2"/>
              <w:spacing w:line="360" w:lineRule="auto"/>
              <w:ind w:firstLine="0"/>
              <w:jc w:val="center"/>
              <w:rPr>
                <w:rFonts w:hint="default" w:ascii="宋体" w:hAnsi="宋体" w:eastAsia="宋体"/>
                <w:sz w:val="24"/>
                <w:szCs w:val="24"/>
              </w:rPr>
            </w:pPr>
            <w:r>
              <w:rPr>
                <w:rFonts w:ascii="宋体" w:hAnsi="宋体" w:eastAsia="宋体"/>
                <w:sz w:val="24"/>
                <w:szCs w:val="24"/>
              </w:rPr>
              <w:t>1</w:t>
            </w:r>
          </w:p>
        </w:tc>
        <w:tc>
          <w:tcPr>
            <w:tcW w:w="7654" w:type="dxa"/>
            <w:tcMar>
              <w:top w:w="79" w:type="dxa"/>
              <w:left w:w="79" w:type="dxa"/>
              <w:bottom w:w="79" w:type="dxa"/>
              <w:right w:w="79" w:type="dxa"/>
            </w:tcMar>
          </w:tcPr>
          <w:p w14:paraId="3265B2BC">
            <w:pPr>
              <w:rPr>
                <w:rFonts w:hint="default" w:ascii="宋体" w:hAnsi="宋体" w:eastAsia="宋体"/>
                <w:sz w:val="24"/>
                <w:szCs w:val="24"/>
              </w:rPr>
            </w:pPr>
            <w:r>
              <w:rPr>
                <w:rFonts w:ascii="宋体" w:hAnsi="宋体" w:eastAsia="宋体"/>
                <w:sz w:val="24"/>
                <w:szCs w:val="24"/>
              </w:rPr>
              <w:t>采用成熟的SOA架构及设计理念，保证学校内部各业务系统集成和交互过程中异构技术架构和异构数据结构集成中的稳定性和可管理性。</w:t>
            </w:r>
          </w:p>
          <w:p w14:paraId="2C8950E7">
            <w:pPr>
              <w:rPr>
                <w:rFonts w:hint="default" w:ascii="宋体" w:hAnsi="宋体" w:eastAsia="宋体"/>
                <w:kern w:val="0"/>
                <w:sz w:val="24"/>
                <w:szCs w:val="24"/>
              </w:rPr>
            </w:pPr>
            <w:r>
              <w:rPr>
                <w:rFonts w:ascii="宋体" w:hAnsi="宋体" w:eastAsia="宋体"/>
                <w:sz w:val="24"/>
                <w:szCs w:val="24"/>
              </w:rPr>
              <w:t>具备集群工作模式，支持负载均衡，自动对可用资源进行并发检测，调整和分配等功能。具备完善的容错机制，在运行环境出现故障时仍能提供稳定、持续的服务。</w:t>
            </w:r>
          </w:p>
        </w:tc>
      </w:tr>
      <w:tr w14:paraId="68E401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3" w:hRule="atLeast"/>
          <w:jc w:val="center"/>
        </w:trPr>
        <w:tc>
          <w:tcPr>
            <w:tcW w:w="850" w:type="dxa"/>
            <w:tcMar>
              <w:top w:w="79" w:type="dxa"/>
              <w:left w:w="79" w:type="dxa"/>
              <w:bottom w:w="79" w:type="dxa"/>
              <w:right w:w="79" w:type="dxa"/>
            </w:tcMar>
            <w:vAlign w:val="center"/>
          </w:tcPr>
          <w:p w14:paraId="0F620A1C">
            <w:pPr>
              <w:pStyle w:val="2"/>
              <w:spacing w:line="360" w:lineRule="auto"/>
              <w:ind w:firstLine="0"/>
              <w:jc w:val="center"/>
              <w:rPr>
                <w:rFonts w:hint="default" w:ascii="宋体" w:hAnsi="宋体" w:eastAsia="宋体"/>
                <w:sz w:val="24"/>
                <w:szCs w:val="24"/>
              </w:rPr>
            </w:pPr>
            <w:r>
              <w:rPr>
                <w:rFonts w:ascii="宋体" w:hAnsi="宋体" w:eastAsia="宋体"/>
                <w:sz w:val="24"/>
                <w:szCs w:val="24"/>
              </w:rPr>
              <w:t>2</w:t>
            </w:r>
          </w:p>
        </w:tc>
        <w:tc>
          <w:tcPr>
            <w:tcW w:w="7654" w:type="dxa"/>
            <w:tcMar>
              <w:top w:w="79" w:type="dxa"/>
              <w:left w:w="79" w:type="dxa"/>
              <w:bottom w:w="79" w:type="dxa"/>
              <w:right w:w="79" w:type="dxa"/>
            </w:tcMar>
            <w:vAlign w:val="center"/>
          </w:tcPr>
          <w:p w14:paraId="5C7AAA4C">
            <w:pPr>
              <w:rPr>
                <w:rFonts w:hint="default" w:ascii="宋体" w:hAnsi="宋体" w:eastAsia="宋体"/>
                <w:kern w:val="0"/>
                <w:sz w:val="24"/>
                <w:szCs w:val="24"/>
              </w:rPr>
            </w:pPr>
            <w:r>
              <w:rPr>
                <w:rFonts w:ascii="宋体" w:hAnsi="宋体" w:eastAsia="宋体"/>
                <w:kern w:val="0"/>
                <w:sz w:val="24"/>
                <w:szCs w:val="24"/>
              </w:rPr>
              <w:t>平台可以支持Edge及以上版本、Safari、Firefox、Chrome等浏览器。</w:t>
            </w:r>
          </w:p>
        </w:tc>
      </w:tr>
      <w:tr w14:paraId="6A0364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0" w:hRule="atLeast"/>
          <w:jc w:val="center"/>
        </w:trPr>
        <w:tc>
          <w:tcPr>
            <w:tcW w:w="850" w:type="dxa"/>
            <w:tcMar>
              <w:top w:w="79" w:type="dxa"/>
              <w:left w:w="79" w:type="dxa"/>
              <w:bottom w:w="79" w:type="dxa"/>
              <w:right w:w="79" w:type="dxa"/>
            </w:tcMar>
          </w:tcPr>
          <w:p w14:paraId="12B12423">
            <w:pPr>
              <w:pStyle w:val="2"/>
              <w:spacing w:line="360" w:lineRule="auto"/>
              <w:ind w:firstLine="0"/>
              <w:jc w:val="center"/>
              <w:rPr>
                <w:rFonts w:hint="default" w:ascii="宋体" w:hAnsi="宋体" w:eastAsia="宋体"/>
                <w:sz w:val="24"/>
                <w:szCs w:val="24"/>
              </w:rPr>
            </w:pPr>
            <w:r>
              <w:rPr>
                <w:rFonts w:hint="default" w:ascii="宋体" w:hAnsi="宋体" w:eastAsia="宋体"/>
                <w:sz w:val="24"/>
                <w:szCs w:val="24"/>
              </w:rPr>
              <w:t>3</w:t>
            </w:r>
          </w:p>
        </w:tc>
        <w:tc>
          <w:tcPr>
            <w:tcW w:w="7654" w:type="dxa"/>
            <w:tcMar>
              <w:top w:w="79" w:type="dxa"/>
              <w:left w:w="79" w:type="dxa"/>
              <w:bottom w:w="79" w:type="dxa"/>
              <w:right w:w="79" w:type="dxa"/>
            </w:tcMar>
            <w:vAlign w:val="center"/>
          </w:tcPr>
          <w:p w14:paraId="30C3FE66">
            <w:pPr>
              <w:rPr>
                <w:rFonts w:hint="default" w:ascii="宋体" w:hAnsi="宋体" w:eastAsia="宋体"/>
                <w:kern w:val="0"/>
                <w:sz w:val="24"/>
                <w:szCs w:val="24"/>
              </w:rPr>
            </w:pPr>
            <w:r>
              <w:rPr>
                <w:rFonts w:ascii="宋体" w:hAnsi="宋体" w:eastAsia="宋体"/>
                <w:kern w:val="0"/>
                <w:sz w:val="24"/>
                <w:szCs w:val="24"/>
              </w:rPr>
              <w:t>系统设计满足大规模用户使用，能满足千人在线咨询预约的性能要求。</w:t>
            </w:r>
          </w:p>
        </w:tc>
      </w:tr>
      <w:tr w14:paraId="5E7D06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jc w:val="center"/>
        </w:trPr>
        <w:tc>
          <w:tcPr>
            <w:tcW w:w="850" w:type="dxa"/>
            <w:tcMar>
              <w:top w:w="79" w:type="dxa"/>
              <w:left w:w="79" w:type="dxa"/>
              <w:bottom w:w="79" w:type="dxa"/>
              <w:right w:w="79" w:type="dxa"/>
            </w:tcMar>
          </w:tcPr>
          <w:p w14:paraId="02672D13">
            <w:pPr>
              <w:pStyle w:val="2"/>
              <w:spacing w:line="360" w:lineRule="auto"/>
              <w:ind w:firstLine="0"/>
              <w:jc w:val="center"/>
              <w:rPr>
                <w:rFonts w:hint="default" w:ascii="宋体" w:hAnsi="宋体" w:eastAsia="宋体"/>
                <w:sz w:val="24"/>
                <w:szCs w:val="24"/>
              </w:rPr>
            </w:pPr>
            <w:r>
              <w:rPr>
                <w:rFonts w:hint="default" w:ascii="宋体" w:hAnsi="宋体" w:eastAsia="宋体"/>
                <w:sz w:val="24"/>
                <w:szCs w:val="24"/>
              </w:rPr>
              <w:t>4</w:t>
            </w:r>
          </w:p>
        </w:tc>
        <w:tc>
          <w:tcPr>
            <w:tcW w:w="7654" w:type="dxa"/>
            <w:tcMar>
              <w:top w:w="79" w:type="dxa"/>
              <w:left w:w="79" w:type="dxa"/>
              <w:bottom w:w="79" w:type="dxa"/>
              <w:right w:w="79" w:type="dxa"/>
            </w:tcMar>
            <w:vAlign w:val="center"/>
          </w:tcPr>
          <w:p w14:paraId="4B38D62B">
            <w:pPr>
              <w:rPr>
                <w:rFonts w:hint="default" w:ascii="宋体" w:hAnsi="宋体" w:eastAsia="宋体"/>
                <w:kern w:val="0"/>
                <w:sz w:val="24"/>
                <w:szCs w:val="24"/>
              </w:rPr>
            </w:pPr>
            <w:r>
              <w:rPr>
                <w:rFonts w:ascii="宋体" w:hAnsi="宋体" w:eastAsia="宋体"/>
                <w:kern w:val="0"/>
                <w:sz w:val="24"/>
                <w:szCs w:val="24"/>
              </w:rPr>
              <w:t>具备有效的安全保障体系，保证内部信息安全和数据安全。提供基于角色的用户认证，严格权限访问控制，有效控制数据权限和功能权限。</w:t>
            </w:r>
          </w:p>
        </w:tc>
      </w:tr>
    </w:tbl>
    <w:p w14:paraId="36ED76ED">
      <w:pPr>
        <w:spacing w:before="240" w:line="360" w:lineRule="auto"/>
        <w:rPr>
          <w:rFonts w:hint="default" w:ascii="宋体" w:hAnsi="宋体" w:eastAsia="宋体"/>
          <w:b/>
          <w:sz w:val="24"/>
          <w:szCs w:val="24"/>
        </w:rPr>
      </w:pPr>
      <w:r>
        <w:rPr>
          <w:rFonts w:ascii="宋体" w:hAnsi="宋体" w:eastAsia="宋体"/>
          <w:b/>
          <w:sz w:val="24"/>
          <w:szCs w:val="24"/>
        </w:rPr>
        <w:t>五、交货及验收</w:t>
      </w:r>
    </w:p>
    <w:tbl>
      <w:tblPr>
        <w:tblStyle w:val="14"/>
        <w:tblW w:w="850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850"/>
        <w:gridCol w:w="1417"/>
        <w:gridCol w:w="6237"/>
      </w:tblGrid>
      <w:tr w14:paraId="0CEB97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850" w:type="dxa"/>
            <w:tcMar>
              <w:top w:w="79" w:type="dxa"/>
              <w:left w:w="79" w:type="dxa"/>
              <w:bottom w:w="79" w:type="dxa"/>
              <w:right w:w="79" w:type="dxa"/>
            </w:tcMar>
            <w:vAlign w:val="center"/>
          </w:tcPr>
          <w:p w14:paraId="4EF83AD0">
            <w:pPr>
              <w:pStyle w:val="2"/>
              <w:ind w:firstLine="0"/>
              <w:jc w:val="center"/>
              <w:rPr>
                <w:rFonts w:hint="default" w:ascii="宋体" w:hAnsi="宋体" w:eastAsia="宋体"/>
                <w:b/>
                <w:sz w:val="24"/>
                <w:szCs w:val="24"/>
              </w:rPr>
            </w:pPr>
            <w:bookmarkStart w:id="5" w:name="_Hlk212473915"/>
            <w:r>
              <w:rPr>
                <w:rFonts w:ascii="宋体" w:hAnsi="宋体" w:eastAsia="宋体" w:cs="微软雅黑"/>
                <w:b/>
                <w:sz w:val="24"/>
                <w:szCs w:val="24"/>
              </w:rPr>
              <w:t>序号</w:t>
            </w:r>
          </w:p>
        </w:tc>
        <w:tc>
          <w:tcPr>
            <w:tcW w:w="7654" w:type="dxa"/>
            <w:gridSpan w:val="2"/>
            <w:tcMar>
              <w:top w:w="79" w:type="dxa"/>
              <w:left w:w="79" w:type="dxa"/>
              <w:bottom w:w="79" w:type="dxa"/>
              <w:right w:w="79" w:type="dxa"/>
            </w:tcMar>
            <w:vAlign w:val="center"/>
          </w:tcPr>
          <w:p w14:paraId="23F519CD">
            <w:pPr>
              <w:pStyle w:val="2"/>
              <w:ind w:firstLine="0"/>
              <w:jc w:val="center"/>
              <w:rPr>
                <w:rFonts w:hint="default" w:ascii="宋体" w:hAnsi="宋体" w:eastAsia="宋体"/>
                <w:b/>
                <w:sz w:val="24"/>
                <w:szCs w:val="24"/>
              </w:rPr>
            </w:pPr>
            <w:r>
              <w:rPr>
                <w:rFonts w:ascii="宋体" w:hAnsi="宋体" w:eastAsia="宋体" w:cs="微软雅黑"/>
                <w:b/>
                <w:sz w:val="24"/>
                <w:szCs w:val="24"/>
              </w:rPr>
              <w:t>交货及验收要求</w:t>
            </w:r>
          </w:p>
        </w:tc>
      </w:tr>
      <w:tr w14:paraId="403CA0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3" w:hRule="atLeast"/>
          <w:jc w:val="center"/>
        </w:trPr>
        <w:tc>
          <w:tcPr>
            <w:tcW w:w="850" w:type="dxa"/>
            <w:tcMar>
              <w:top w:w="79" w:type="dxa"/>
              <w:left w:w="79" w:type="dxa"/>
              <w:bottom w:w="79" w:type="dxa"/>
              <w:right w:w="79" w:type="dxa"/>
            </w:tcMar>
          </w:tcPr>
          <w:p w14:paraId="4531343F">
            <w:pPr>
              <w:pStyle w:val="2"/>
              <w:spacing w:line="360" w:lineRule="auto"/>
              <w:ind w:firstLine="0"/>
              <w:jc w:val="center"/>
              <w:rPr>
                <w:rFonts w:hint="default" w:ascii="宋体" w:hAnsi="宋体" w:eastAsia="宋体"/>
                <w:sz w:val="24"/>
                <w:szCs w:val="24"/>
              </w:rPr>
            </w:pPr>
            <w:r>
              <w:rPr>
                <w:rFonts w:ascii="宋体" w:hAnsi="宋体" w:eastAsia="宋体"/>
                <w:sz w:val="24"/>
                <w:szCs w:val="24"/>
              </w:rPr>
              <w:t>1</w:t>
            </w:r>
          </w:p>
        </w:tc>
        <w:tc>
          <w:tcPr>
            <w:tcW w:w="1417" w:type="dxa"/>
            <w:tcMar>
              <w:top w:w="79" w:type="dxa"/>
              <w:left w:w="79" w:type="dxa"/>
              <w:bottom w:w="79" w:type="dxa"/>
              <w:right w:w="79" w:type="dxa"/>
            </w:tcMar>
          </w:tcPr>
          <w:p w14:paraId="0BAE2F1B">
            <w:pPr>
              <w:pStyle w:val="2"/>
              <w:spacing w:line="360" w:lineRule="auto"/>
              <w:ind w:firstLine="0"/>
              <w:jc w:val="center"/>
              <w:rPr>
                <w:rFonts w:hint="default" w:ascii="宋体" w:hAnsi="宋体" w:eastAsia="宋体"/>
                <w:sz w:val="24"/>
                <w:szCs w:val="24"/>
              </w:rPr>
            </w:pPr>
            <w:r>
              <w:rPr>
                <w:rFonts w:ascii="宋体" w:hAnsi="宋体" w:eastAsia="宋体"/>
                <w:sz w:val="24"/>
                <w:szCs w:val="24"/>
              </w:rPr>
              <w:t>交货期</w:t>
            </w:r>
          </w:p>
        </w:tc>
        <w:tc>
          <w:tcPr>
            <w:tcW w:w="6237" w:type="dxa"/>
            <w:tcMar>
              <w:top w:w="79" w:type="dxa"/>
              <w:left w:w="79" w:type="dxa"/>
              <w:bottom w:w="79" w:type="dxa"/>
              <w:right w:w="79" w:type="dxa"/>
            </w:tcMar>
            <w:vAlign w:val="center"/>
          </w:tcPr>
          <w:p w14:paraId="3451C699">
            <w:pPr>
              <w:rPr>
                <w:rFonts w:hint="default" w:ascii="宋体" w:hAnsi="宋体" w:eastAsia="宋体"/>
                <w:kern w:val="0"/>
                <w:sz w:val="24"/>
                <w:szCs w:val="24"/>
              </w:rPr>
            </w:pPr>
            <w:r>
              <w:rPr>
                <w:rFonts w:ascii="宋体" w:hAnsi="宋体" w:eastAsia="宋体"/>
                <w:kern w:val="0"/>
                <w:sz w:val="24"/>
                <w:szCs w:val="24"/>
              </w:rPr>
              <w:t>交付期限为双方签约生效后10个工作日内。</w:t>
            </w:r>
          </w:p>
        </w:tc>
      </w:tr>
      <w:tr w14:paraId="3A8CCB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3" w:hRule="atLeast"/>
          <w:jc w:val="center"/>
        </w:trPr>
        <w:tc>
          <w:tcPr>
            <w:tcW w:w="850" w:type="dxa"/>
            <w:tcMar>
              <w:top w:w="79" w:type="dxa"/>
              <w:left w:w="79" w:type="dxa"/>
              <w:bottom w:w="79" w:type="dxa"/>
              <w:right w:w="79" w:type="dxa"/>
            </w:tcMar>
            <w:vAlign w:val="center"/>
          </w:tcPr>
          <w:p w14:paraId="705ECE67">
            <w:pPr>
              <w:pStyle w:val="2"/>
              <w:spacing w:line="360" w:lineRule="auto"/>
              <w:ind w:firstLine="0"/>
              <w:jc w:val="center"/>
              <w:rPr>
                <w:rFonts w:hint="default" w:ascii="宋体" w:hAnsi="宋体" w:eastAsia="宋体"/>
                <w:sz w:val="24"/>
                <w:szCs w:val="24"/>
              </w:rPr>
            </w:pPr>
            <w:r>
              <w:rPr>
                <w:rFonts w:ascii="宋体" w:hAnsi="宋体" w:eastAsia="宋体"/>
                <w:sz w:val="24"/>
                <w:szCs w:val="24"/>
              </w:rPr>
              <w:t>2</w:t>
            </w:r>
          </w:p>
        </w:tc>
        <w:tc>
          <w:tcPr>
            <w:tcW w:w="1417" w:type="dxa"/>
            <w:tcMar>
              <w:top w:w="79" w:type="dxa"/>
              <w:left w:w="79" w:type="dxa"/>
              <w:bottom w:w="79" w:type="dxa"/>
              <w:right w:w="79" w:type="dxa"/>
            </w:tcMar>
            <w:vAlign w:val="center"/>
          </w:tcPr>
          <w:p w14:paraId="00213A9C">
            <w:pPr>
              <w:pStyle w:val="2"/>
              <w:spacing w:line="360" w:lineRule="auto"/>
              <w:ind w:firstLine="0"/>
              <w:jc w:val="center"/>
              <w:rPr>
                <w:rFonts w:hint="default" w:ascii="宋体" w:hAnsi="宋体" w:eastAsia="宋体"/>
                <w:sz w:val="24"/>
                <w:szCs w:val="24"/>
              </w:rPr>
            </w:pPr>
            <w:r>
              <w:rPr>
                <w:rFonts w:ascii="宋体" w:hAnsi="宋体" w:eastAsia="宋体"/>
                <w:sz w:val="24"/>
                <w:szCs w:val="24"/>
              </w:rPr>
              <w:t>项目组要求</w:t>
            </w:r>
          </w:p>
        </w:tc>
        <w:tc>
          <w:tcPr>
            <w:tcW w:w="6237" w:type="dxa"/>
            <w:tcMar>
              <w:top w:w="79" w:type="dxa"/>
              <w:left w:w="79" w:type="dxa"/>
              <w:bottom w:w="79" w:type="dxa"/>
              <w:right w:w="79" w:type="dxa"/>
            </w:tcMar>
            <w:vAlign w:val="center"/>
          </w:tcPr>
          <w:p w14:paraId="15D22973">
            <w:pPr>
              <w:rPr>
                <w:rFonts w:hint="default" w:ascii="宋体" w:hAnsi="宋体" w:eastAsia="宋体"/>
                <w:kern w:val="0"/>
                <w:sz w:val="24"/>
                <w:szCs w:val="24"/>
              </w:rPr>
            </w:pPr>
            <w:r>
              <w:rPr>
                <w:rFonts w:ascii="宋体" w:hAnsi="宋体" w:eastAsia="宋体"/>
                <w:kern w:val="0"/>
                <w:sz w:val="24"/>
                <w:szCs w:val="24"/>
              </w:rPr>
              <w:t>成交供应商须按要求指派有丰富项目技术经验的专人任项目实施负责人，负责项目实施，保障进度与质量。</w:t>
            </w:r>
          </w:p>
        </w:tc>
      </w:tr>
      <w:tr w14:paraId="3BD679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850" w:type="dxa"/>
            <w:tcMar>
              <w:top w:w="79" w:type="dxa"/>
              <w:left w:w="79" w:type="dxa"/>
              <w:bottom w:w="79" w:type="dxa"/>
              <w:right w:w="79" w:type="dxa"/>
            </w:tcMar>
          </w:tcPr>
          <w:p w14:paraId="70E1063E">
            <w:pPr>
              <w:pStyle w:val="2"/>
              <w:spacing w:line="360" w:lineRule="auto"/>
              <w:ind w:firstLine="0"/>
              <w:jc w:val="center"/>
              <w:rPr>
                <w:rFonts w:hint="default" w:ascii="宋体" w:hAnsi="宋体" w:eastAsia="宋体"/>
                <w:sz w:val="24"/>
                <w:szCs w:val="24"/>
              </w:rPr>
            </w:pPr>
            <w:r>
              <w:rPr>
                <w:rFonts w:ascii="宋体" w:hAnsi="宋体" w:eastAsia="宋体"/>
                <w:sz w:val="24"/>
                <w:szCs w:val="24"/>
              </w:rPr>
              <w:t>3</w:t>
            </w:r>
          </w:p>
        </w:tc>
        <w:tc>
          <w:tcPr>
            <w:tcW w:w="1417" w:type="dxa"/>
            <w:tcMar>
              <w:top w:w="79" w:type="dxa"/>
              <w:left w:w="79" w:type="dxa"/>
              <w:bottom w:w="79" w:type="dxa"/>
              <w:right w:w="79" w:type="dxa"/>
            </w:tcMar>
          </w:tcPr>
          <w:p w14:paraId="03B97F66">
            <w:pPr>
              <w:pStyle w:val="2"/>
              <w:spacing w:line="360" w:lineRule="auto"/>
              <w:ind w:firstLine="0"/>
              <w:jc w:val="center"/>
              <w:rPr>
                <w:rFonts w:hint="default" w:ascii="宋体" w:hAnsi="宋体" w:eastAsia="宋体"/>
                <w:sz w:val="24"/>
                <w:szCs w:val="24"/>
              </w:rPr>
            </w:pPr>
            <w:r>
              <w:rPr>
                <w:rFonts w:ascii="宋体" w:hAnsi="宋体" w:eastAsia="宋体"/>
                <w:sz w:val="24"/>
                <w:szCs w:val="24"/>
              </w:rPr>
              <w:t>验收要求</w:t>
            </w:r>
          </w:p>
        </w:tc>
        <w:tc>
          <w:tcPr>
            <w:tcW w:w="6237" w:type="dxa"/>
            <w:tcMar>
              <w:top w:w="79" w:type="dxa"/>
              <w:left w:w="79" w:type="dxa"/>
              <w:bottom w:w="79" w:type="dxa"/>
              <w:right w:w="79" w:type="dxa"/>
            </w:tcMar>
            <w:vAlign w:val="center"/>
          </w:tcPr>
          <w:p w14:paraId="7E591DBB">
            <w:pPr>
              <w:rPr>
                <w:rFonts w:hint="default" w:ascii="宋体" w:hAnsi="宋体" w:eastAsia="宋体"/>
                <w:kern w:val="0"/>
                <w:sz w:val="24"/>
                <w:szCs w:val="24"/>
              </w:rPr>
            </w:pPr>
            <w:r>
              <w:rPr>
                <w:rFonts w:ascii="宋体" w:hAnsi="宋体" w:eastAsia="宋体"/>
                <w:kern w:val="0"/>
                <w:sz w:val="24"/>
                <w:szCs w:val="24"/>
              </w:rPr>
              <w:t>完成交付后10个工作日内可申请验收。成交供应商须提供验收文档（使用手册等资料，验收报告、培训完成确认文件等），验收由上海外国语大学教师发展中心负责验收。</w:t>
            </w:r>
            <w:r>
              <w:rPr>
                <w:rFonts w:hint="default" w:ascii="宋体" w:hAnsi="宋体" w:eastAsia="宋体"/>
                <w:kern w:val="0"/>
                <w:sz w:val="24"/>
                <w:szCs w:val="24"/>
              </w:rPr>
              <w:t>验收依据国家有关规范、采购公告、采购需求文件和项目有关文件。验收前甲方需对合同中规定的各项服务内容进行验收签字确认。验收若发现质量问题，或者不达标项目，成交供应商须无条件整改至符合验收要求。整改过程产生新增、更改或产生其他费用，均由成交供应商自行承担；若验收过程产生其他费用，由成交供应商负责承担。</w:t>
            </w:r>
          </w:p>
        </w:tc>
      </w:tr>
      <w:bookmarkEnd w:id="5"/>
    </w:tbl>
    <w:p w14:paraId="3995751D">
      <w:pPr>
        <w:spacing w:before="240" w:line="360" w:lineRule="auto"/>
        <w:rPr>
          <w:rFonts w:hint="default" w:ascii="宋体" w:hAnsi="宋体" w:eastAsia="宋体"/>
          <w:b/>
          <w:sz w:val="24"/>
          <w:szCs w:val="24"/>
        </w:rPr>
      </w:pPr>
      <w:r>
        <w:rPr>
          <w:rFonts w:ascii="宋体" w:hAnsi="宋体" w:eastAsia="宋体"/>
          <w:b/>
          <w:sz w:val="24"/>
          <w:szCs w:val="24"/>
        </w:rPr>
        <w:t>六、支付及报价要求</w:t>
      </w:r>
    </w:p>
    <w:tbl>
      <w:tblPr>
        <w:tblStyle w:val="24"/>
        <w:tblW w:w="8504" w:type="dxa"/>
        <w:jc w:val="center"/>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7E7"/>
        <w:tblLayout w:type="fixed"/>
        <w:tblCellMar>
          <w:top w:w="0" w:type="dxa"/>
          <w:left w:w="0" w:type="dxa"/>
          <w:bottom w:w="0" w:type="dxa"/>
          <w:right w:w="0" w:type="dxa"/>
        </w:tblCellMar>
      </w:tblPr>
      <w:tblGrid>
        <w:gridCol w:w="850"/>
        <w:gridCol w:w="7654"/>
      </w:tblGrid>
      <w:tr w14:paraId="052F07FA">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0" w:type="dxa"/>
            <w:bottom w:w="0" w:type="dxa"/>
            <w:right w:w="0" w:type="dxa"/>
          </w:tblCellMar>
        </w:tblPrEx>
        <w:trPr>
          <w:trHeight w:val="567" w:hRule="atLeast"/>
          <w:jc w:val="center"/>
        </w:trPr>
        <w:tc>
          <w:tcPr>
            <w:tcW w:w="850" w:type="dxa"/>
            <w:tcBorders>
              <w:top w:val="single" w:color="000000" w:sz="4" w:space="0"/>
              <w:left w:val="single" w:color="000000" w:sz="4" w:space="0"/>
              <w:bottom w:val="single" w:color="000000" w:sz="4" w:space="0"/>
              <w:right w:val="single" w:color="000000" w:sz="4" w:space="0"/>
            </w:tcBorders>
            <w:shd w:val="clear" w:color="auto" w:fill="CED7E7"/>
            <w:tcMar>
              <w:top w:w="80" w:type="dxa"/>
              <w:left w:w="80" w:type="dxa"/>
              <w:bottom w:w="80" w:type="dxa"/>
              <w:right w:w="80" w:type="dxa"/>
            </w:tcMar>
            <w:vAlign w:val="center"/>
          </w:tcPr>
          <w:p w14:paraId="35BA9E52">
            <w:pPr>
              <w:jc w:val="center"/>
              <w:rPr>
                <w:rFonts w:hint="default" w:ascii="宋体" w:hAnsi="宋体" w:eastAsia="宋体"/>
                <w:b/>
                <w:bCs/>
                <w:kern w:val="0"/>
                <w:sz w:val="24"/>
                <w:szCs w:val="24"/>
              </w:rPr>
            </w:pPr>
            <w:r>
              <w:rPr>
                <w:rFonts w:ascii="宋体" w:hAnsi="宋体" w:eastAsia="宋体"/>
                <w:b/>
                <w:bCs/>
                <w:kern w:val="0"/>
                <w:sz w:val="24"/>
                <w:szCs w:val="24"/>
              </w:rPr>
              <w:t>序号</w:t>
            </w:r>
          </w:p>
        </w:tc>
        <w:tc>
          <w:tcPr>
            <w:tcW w:w="7654" w:type="dxa"/>
            <w:tcBorders>
              <w:top w:val="single" w:color="000000" w:sz="4" w:space="0"/>
              <w:left w:val="single" w:color="000000" w:sz="4" w:space="0"/>
              <w:bottom w:val="single" w:color="000000" w:sz="4" w:space="0"/>
              <w:right w:val="single" w:color="000000" w:sz="4" w:space="0"/>
            </w:tcBorders>
            <w:shd w:val="clear" w:color="auto" w:fill="CED7E7"/>
            <w:tcMar>
              <w:top w:w="80" w:type="dxa"/>
              <w:left w:w="80" w:type="dxa"/>
              <w:bottom w:w="80" w:type="dxa"/>
              <w:right w:w="80" w:type="dxa"/>
            </w:tcMar>
            <w:vAlign w:val="center"/>
          </w:tcPr>
          <w:p w14:paraId="53587FE3">
            <w:pPr>
              <w:jc w:val="center"/>
              <w:rPr>
                <w:rFonts w:hint="default" w:ascii="宋体" w:hAnsi="宋体" w:eastAsia="宋体"/>
                <w:b/>
                <w:bCs/>
                <w:kern w:val="0"/>
                <w:sz w:val="24"/>
                <w:szCs w:val="24"/>
              </w:rPr>
            </w:pPr>
            <w:r>
              <w:rPr>
                <w:rFonts w:ascii="宋体" w:hAnsi="宋体" w:eastAsia="宋体"/>
                <w:b/>
                <w:bCs/>
                <w:kern w:val="0"/>
                <w:sz w:val="24"/>
                <w:szCs w:val="24"/>
              </w:rPr>
              <w:t>要求内容</w:t>
            </w:r>
          </w:p>
        </w:tc>
      </w:tr>
      <w:tr w14:paraId="09EF1453">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0" w:type="dxa"/>
            <w:bottom w:w="0" w:type="dxa"/>
            <w:right w:w="0" w:type="dxa"/>
          </w:tblCellMar>
        </w:tblPrEx>
        <w:trPr>
          <w:trHeight w:val="567" w:hRule="atLeast"/>
          <w:jc w:val="center"/>
        </w:trPr>
        <w:tc>
          <w:tcPr>
            <w:tcW w:w="850" w:type="dxa"/>
            <w:tcBorders>
              <w:top w:val="single" w:color="000000" w:sz="4" w:space="0"/>
              <w:left w:val="single" w:color="000000" w:sz="4" w:space="0"/>
              <w:bottom w:val="single" w:color="000000" w:sz="4" w:space="0"/>
              <w:right w:val="single" w:color="000000" w:sz="4" w:space="0"/>
            </w:tcBorders>
            <w:shd w:val="clear" w:color="auto" w:fill="CED7E7"/>
            <w:tcMar>
              <w:top w:w="80" w:type="dxa"/>
              <w:left w:w="80" w:type="dxa"/>
              <w:bottom w:w="80" w:type="dxa"/>
              <w:right w:w="80" w:type="dxa"/>
            </w:tcMar>
            <w:vAlign w:val="center"/>
          </w:tcPr>
          <w:p w14:paraId="7851B37F">
            <w:pPr>
              <w:jc w:val="center"/>
              <w:rPr>
                <w:rFonts w:hint="default" w:ascii="宋体" w:hAnsi="宋体" w:eastAsia="宋体"/>
                <w:kern w:val="0"/>
                <w:sz w:val="24"/>
                <w:szCs w:val="24"/>
              </w:rPr>
            </w:pPr>
            <w:r>
              <w:rPr>
                <w:rFonts w:ascii="宋体" w:hAnsi="宋体" w:eastAsia="宋体"/>
                <w:kern w:val="0"/>
                <w:sz w:val="24"/>
                <w:szCs w:val="24"/>
              </w:rPr>
              <w:t>1</w:t>
            </w:r>
          </w:p>
        </w:tc>
        <w:tc>
          <w:tcPr>
            <w:tcW w:w="7654" w:type="dxa"/>
            <w:tcBorders>
              <w:top w:val="single" w:color="000000" w:sz="4" w:space="0"/>
              <w:left w:val="single" w:color="000000" w:sz="4" w:space="0"/>
              <w:bottom w:val="single" w:color="000000" w:sz="4" w:space="0"/>
              <w:right w:val="single" w:color="000000" w:sz="4" w:space="0"/>
            </w:tcBorders>
            <w:shd w:val="clear" w:color="auto" w:fill="CED7E7"/>
            <w:tcMar>
              <w:top w:w="80" w:type="dxa"/>
              <w:left w:w="80" w:type="dxa"/>
              <w:bottom w:w="80" w:type="dxa"/>
              <w:right w:w="80" w:type="dxa"/>
            </w:tcMar>
            <w:vAlign w:val="center"/>
          </w:tcPr>
          <w:p w14:paraId="715FF962">
            <w:pPr>
              <w:rPr>
                <w:rFonts w:hint="default" w:ascii="宋体" w:hAnsi="宋体" w:eastAsia="宋体" w:cs="宋体"/>
                <w:sz w:val="24"/>
                <w:szCs w:val="24"/>
              </w:rPr>
            </w:pPr>
            <w:r>
              <w:rPr>
                <w:rFonts w:hint="default" w:ascii="宋体" w:hAnsi="宋体" w:eastAsia="宋体" w:cs="宋体"/>
                <w:sz w:val="24"/>
                <w:szCs w:val="24"/>
              </w:rPr>
              <w:t>支付价款时需开具合法有效发票。</w:t>
            </w:r>
            <w:r>
              <w:rPr>
                <w:rFonts w:ascii="宋体" w:hAnsi="宋体" w:eastAsia="宋体" w:cs="宋体"/>
                <w:sz w:val="24"/>
                <w:szCs w:val="24"/>
              </w:rPr>
              <w:t>成交供应商</w:t>
            </w:r>
            <w:r>
              <w:rPr>
                <w:rFonts w:hint="default" w:ascii="宋体" w:hAnsi="宋体" w:eastAsia="宋体" w:cs="宋体"/>
                <w:sz w:val="24"/>
                <w:szCs w:val="24"/>
              </w:rPr>
              <w:t>在签署合同时，须按照</w:t>
            </w:r>
            <w:r>
              <w:rPr>
                <w:rFonts w:ascii="宋体" w:hAnsi="宋体" w:eastAsia="宋体" w:cs="宋体"/>
                <w:sz w:val="24"/>
                <w:szCs w:val="24"/>
              </w:rPr>
              <w:t>采购人</w:t>
            </w:r>
            <w:r>
              <w:rPr>
                <w:rFonts w:hint="default" w:ascii="宋体" w:hAnsi="宋体" w:eastAsia="宋体" w:cs="宋体"/>
                <w:sz w:val="24"/>
                <w:szCs w:val="24"/>
              </w:rPr>
              <w:t>的合同模板要求订立合同。</w:t>
            </w:r>
          </w:p>
        </w:tc>
      </w:tr>
      <w:tr w14:paraId="731560E7">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0" w:type="dxa"/>
            <w:bottom w:w="0" w:type="dxa"/>
            <w:right w:w="0" w:type="dxa"/>
          </w:tblCellMar>
        </w:tblPrEx>
        <w:trPr>
          <w:trHeight w:val="567" w:hRule="atLeast"/>
          <w:jc w:val="center"/>
        </w:trPr>
        <w:tc>
          <w:tcPr>
            <w:tcW w:w="850" w:type="dxa"/>
            <w:tcBorders>
              <w:top w:val="single" w:color="000000" w:sz="4" w:space="0"/>
              <w:left w:val="single" w:color="000000" w:sz="4" w:space="0"/>
              <w:bottom w:val="single" w:color="000000" w:sz="4" w:space="0"/>
              <w:right w:val="single" w:color="000000" w:sz="4" w:space="0"/>
            </w:tcBorders>
            <w:shd w:val="clear" w:color="auto" w:fill="CED7E7"/>
            <w:tcMar>
              <w:top w:w="80" w:type="dxa"/>
              <w:left w:w="80" w:type="dxa"/>
              <w:bottom w:w="80" w:type="dxa"/>
              <w:right w:w="80" w:type="dxa"/>
            </w:tcMar>
            <w:vAlign w:val="center"/>
          </w:tcPr>
          <w:p w14:paraId="33EB6109">
            <w:pPr>
              <w:jc w:val="center"/>
              <w:rPr>
                <w:rFonts w:hint="default" w:ascii="宋体" w:hAnsi="宋体" w:eastAsia="宋体"/>
                <w:kern w:val="0"/>
                <w:sz w:val="24"/>
                <w:szCs w:val="24"/>
              </w:rPr>
            </w:pPr>
            <w:r>
              <w:rPr>
                <w:rFonts w:ascii="宋体" w:hAnsi="宋体" w:eastAsia="宋体"/>
                <w:kern w:val="0"/>
                <w:sz w:val="24"/>
                <w:szCs w:val="24"/>
              </w:rPr>
              <w:t>2</w:t>
            </w:r>
          </w:p>
        </w:tc>
        <w:tc>
          <w:tcPr>
            <w:tcW w:w="7654" w:type="dxa"/>
            <w:tcBorders>
              <w:top w:val="single" w:color="000000" w:sz="4" w:space="0"/>
              <w:left w:val="single" w:color="000000" w:sz="4" w:space="0"/>
              <w:bottom w:val="single" w:color="000000" w:sz="4" w:space="0"/>
              <w:right w:val="single" w:color="000000" w:sz="4" w:space="0"/>
            </w:tcBorders>
            <w:shd w:val="clear" w:color="auto" w:fill="CED7E7"/>
            <w:tcMar>
              <w:top w:w="80" w:type="dxa"/>
              <w:left w:w="80" w:type="dxa"/>
              <w:bottom w:w="80" w:type="dxa"/>
              <w:right w:w="80" w:type="dxa"/>
            </w:tcMar>
            <w:vAlign w:val="center"/>
          </w:tcPr>
          <w:p w14:paraId="67F6688A">
            <w:pPr>
              <w:rPr>
                <w:rFonts w:hint="default" w:ascii="宋体" w:hAnsi="宋体" w:eastAsia="宋体" w:cs="宋体"/>
                <w:sz w:val="24"/>
                <w:szCs w:val="24"/>
              </w:rPr>
            </w:pPr>
            <w:r>
              <w:rPr>
                <w:rFonts w:ascii="宋体" w:hAnsi="宋体" w:eastAsia="宋体" w:cs="宋体"/>
                <w:sz w:val="24"/>
                <w:szCs w:val="24"/>
              </w:rPr>
              <w:t>报价要求</w:t>
            </w:r>
            <w:r>
              <w:rPr>
                <w:rFonts w:hint="default" w:ascii="宋体" w:hAnsi="宋体" w:eastAsia="宋体" w:cs="宋体"/>
                <w:sz w:val="24"/>
                <w:szCs w:val="24"/>
              </w:rPr>
              <w:t>：</w:t>
            </w:r>
            <w:r>
              <w:rPr>
                <w:rFonts w:ascii="宋体" w:hAnsi="宋体" w:eastAsia="宋体" w:cs="宋体"/>
                <w:b/>
                <w:bCs/>
                <w:sz w:val="24"/>
                <w:szCs w:val="24"/>
              </w:rPr>
              <w:t>对整体项目服务进行报价。</w:t>
            </w:r>
            <w:r>
              <w:rPr>
                <w:rFonts w:ascii="宋体" w:hAnsi="宋体" w:eastAsia="宋体" w:cs="宋体"/>
                <w:sz w:val="24"/>
                <w:szCs w:val="24"/>
              </w:rPr>
              <w:t>价格部分是对货物、服务和工程价格构成的说明，磋商文件如没有特别说明的话，对每一项货物、服务和工程仅接受一个价格</w:t>
            </w:r>
            <w:r>
              <w:rPr>
                <w:rFonts w:hint="default" w:ascii="宋体" w:hAnsi="宋体" w:eastAsia="宋体" w:cs="宋体"/>
                <w:sz w:val="24"/>
                <w:szCs w:val="24"/>
              </w:rPr>
              <w:t>。</w:t>
            </w:r>
          </w:p>
        </w:tc>
      </w:tr>
      <w:tr w14:paraId="3BAC214A">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7E7"/>
          <w:tblCellMar>
            <w:top w:w="0" w:type="dxa"/>
            <w:left w:w="0" w:type="dxa"/>
            <w:bottom w:w="0" w:type="dxa"/>
            <w:right w:w="0" w:type="dxa"/>
          </w:tblCellMar>
        </w:tblPrEx>
        <w:trPr>
          <w:trHeight w:val="567" w:hRule="atLeast"/>
          <w:jc w:val="center"/>
        </w:trPr>
        <w:tc>
          <w:tcPr>
            <w:tcW w:w="850" w:type="dxa"/>
            <w:tcBorders>
              <w:top w:val="single" w:color="000000" w:sz="4" w:space="0"/>
              <w:left w:val="single" w:color="000000" w:sz="4" w:space="0"/>
              <w:bottom w:val="single" w:color="000000" w:sz="4" w:space="0"/>
              <w:right w:val="single" w:color="000000" w:sz="4" w:space="0"/>
            </w:tcBorders>
            <w:shd w:val="clear" w:color="auto" w:fill="CED7E7"/>
            <w:tcMar>
              <w:top w:w="80" w:type="dxa"/>
              <w:left w:w="80" w:type="dxa"/>
              <w:bottom w:w="80" w:type="dxa"/>
              <w:right w:w="80" w:type="dxa"/>
            </w:tcMar>
            <w:vAlign w:val="center"/>
          </w:tcPr>
          <w:p w14:paraId="163377E7">
            <w:pPr>
              <w:jc w:val="center"/>
              <w:rPr>
                <w:rFonts w:hint="default" w:ascii="宋体" w:hAnsi="宋体" w:eastAsia="宋体"/>
                <w:kern w:val="0"/>
                <w:sz w:val="24"/>
                <w:szCs w:val="24"/>
              </w:rPr>
            </w:pPr>
            <w:r>
              <w:rPr>
                <w:rFonts w:ascii="宋体" w:hAnsi="宋体" w:eastAsia="宋体"/>
                <w:kern w:val="0"/>
                <w:sz w:val="24"/>
                <w:szCs w:val="24"/>
              </w:rPr>
              <w:t>3</w:t>
            </w:r>
          </w:p>
        </w:tc>
        <w:tc>
          <w:tcPr>
            <w:tcW w:w="7654" w:type="dxa"/>
            <w:tcBorders>
              <w:top w:val="single" w:color="000000" w:sz="4" w:space="0"/>
              <w:left w:val="single" w:color="000000" w:sz="4" w:space="0"/>
              <w:bottom w:val="single" w:color="000000" w:sz="4" w:space="0"/>
              <w:right w:val="single" w:color="000000" w:sz="4" w:space="0"/>
            </w:tcBorders>
            <w:shd w:val="clear" w:color="auto" w:fill="CED7E7"/>
            <w:tcMar>
              <w:top w:w="80" w:type="dxa"/>
              <w:left w:w="80" w:type="dxa"/>
              <w:bottom w:w="80" w:type="dxa"/>
              <w:right w:w="80" w:type="dxa"/>
            </w:tcMar>
            <w:vAlign w:val="center"/>
          </w:tcPr>
          <w:p w14:paraId="4F8BA7AB">
            <w:pPr>
              <w:rPr>
                <w:rFonts w:hint="default" w:ascii="宋体" w:hAnsi="宋体" w:eastAsia="宋体" w:cs="宋体"/>
                <w:sz w:val="24"/>
                <w:szCs w:val="24"/>
              </w:rPr>
            </w:pPr>
            <w:r>
              <w:rPr>
                <w:rFonts w:ascii="宋体" w:hAnsi="宋体" w:eastAsia="宋体" w:cs="宋体"/>
                <w:sz w:val="24"/>
                <w:szCs w:val="24"/>
              </w:rPr>
              <w:t>报价应包含完成本货物、服务和工程项目发生的所有含税费用、支付给员工的工资和国家强制缴纳的各种社会保障资金，以及成交供应商认为需要的其他费用等。</w:t>
            </w:r>
          </w:p>
        </w:tc>
      </w:tr>
      <w:tr w14:paraId="7FB43C73">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0" w:type="dxa"/>
            <w:bottom w:w="0" w:type="dxa"/>
            <w:right w:w="0" w:type="dxa"/>
          </w:tblCellMar>
        </w:tblPrEx>
        <w:trPr>
          <w:trHeight w:val="567" w:hRule="atLeast"/>
          <w:jc w:val="center"/>
        </w:trPr>
        <w:tc>
          <w:tcPr>
            <w:tcW w:w="850" w:type="dxa"/>
            <w:tcBorders>
              <w:top w:val="single" w:color="000000" w:sz="4" w:space="0"/>
              <w:left w:val="single" w:color="000000" w:sz="4" w:space="0"/>
              <w:bottom w:val="single" w:color="000000" w:sz="4" w:space="0"/>
              <w:right w:val="single" w:color="000000" w:sz="4" w:space="0"/>
            </w:tcBorders>
            <w:shd w:val="clear" w:color="auto" w:fill="CED7E7"/>
            <w:tcMar>
              <w:top w:w="80" w:type="dxa"/>
              <w:left w:w="80" w:type="dxa"/>
              <w:bottom w:w="80" w:type="dxa"/>
              <w:right w:w="80" w:type="dxa"/>
            </w:tcMar>
            <w:vAlign w:val="center"/>
          </w:tcPr>
          <w:p w14:paraId="5585E960">
            <w:pPr>
              <w:jc w:val="center"/>
              <w:rPr>
                <w:rFonts w:hint="default" w:ascii="宋体" w:hAnsi="宋体" w:eastAsia="宋体"/>
                <w:kern w:val="0"/>
                <w:sz w:val="24"/>
                <w:szCs w:val="24"/>
              </w:rPr>
            </w:pPr>
            <w:r>
              <w:rPr>
                <w:rFonts w:hint="default" w:ascii="宋体" w:hAnsi="宋体" w:eastAsia="宋体"/>
                <w:kern w:val="0"/>
                <w:sz w:val="24"/>
                <w:szCs w:val="24"/>
              </w:rPr>
              <w:t>4</w:t>
            </w:r>
          </w:p>
        </w:tc>
        <w:tc>
          <w:tcPr>
            <w:tcW w:w="7654" w:type="dxa"/>
            <w:tcBorders>
              <w:top w:val="single" w:color="000000" w:sz="4" w:space="0"/>
              <w:left w:val="single" w:color="000000" w:sz="4" w:space="0"/>
              <w:bottom w:val="single" w:color="000000" w:sz="4" w:space="0"/>
              <w:right w:val="single" w:color="000000" w:sz="4" w:space="0"/>
            </w:tcBorders>
            <w:shd w:val="clear" w:color="auto" w:fill="CED7E7"/>
            <w:tcMar>
              <w:top w:w="80" w:type="dxa"/>
              <w:left w:w="80" w:type="dxa"/>
              <w:bottom w:w="80" w:type="dxa"/>
              <w:right w:w="80" w:type="dxa"/>
            </w:tcMar>
            <w:vAlign w:val="center"/>
          </w:tcPr>
          <w:p w14:paraId="147E8055">
            <w:pPr>
              <w:rPr>
                <w:rFonts w:hint="default" w:ascii="宋体" w:hAnsi="宋体" w:eastAsia="宋体" w:cs="宋体"/>
                <w:sz w:val="24"/>
                <w:szCs w:val="24"/>
              </w:rPr>
            </w:pPr>
            <w:r>
              <w:rPr>
                <w:rFonts w:ascii="宋体" w:hAnsi="宋体" w:eastAsia="宋体" w:cs="宋体"/>
                <w:sz w:val="24"/>
                <w:szCs w:val="24"/>
              </w:rPr>
              <w:t>付款方式：</w:t>
            </w:r>
          </w:p>
          <w:p w14:paraId="02BF137D">
            <w:pPr>
              <w:rPr>
                <w:rFonts w:hint="default" w:ascii="宋体" w:hAnsi="宋体" w:eastAsia="宋体" w:cs="宋体"/>
                <w:sz w:val="24"/>
                <w:szCs w:val="24"/>
              </w:rPr>
            </w:pPr>
            <w:r>
              <w:rPr>
                <w:rFonts w:ascii="宋体" w:hAnsi="宋体" w:eastAsia="宋体" w:cs="宋体"/>
                <w:sz w:val="24"/>
                <w:szCs w:val="24"/>
              </w:rPr>
              <w:t>验收完成并开具发票后</w:t>
            </w:r>
            <w:r>
              <w:rPr>
                <w:rFonts w:hint="default" w:ascii="宋体" w:hAnsi="宋体" w:eastAsia="宋体" w:cs="宋体"/>
                <w:sz w:val="24"/>
                <w:szCs w:val="24"/>
              </w:rPr>
              <w:t>20</w:t>
            </w:r>
            <w:r>
              <w:rPr>
                <w:rFonts w:ascii="宋体" w:hAnsi="宋体" w:eastAsia="宋体" w:cs="宋体"/>
                <w:sz w:val="24"/>
                <w:szCs w:val="24"/>
              </w:rPr>
              <w:t>工作</w:t>
            </w:r>
            <w:r>
              <w:rPr>
                <w:rFonts w:hint="default" w:ascii="宋体" w:hAnsi="宋体" w:eastAsia="宋体" w:cs="宋体"/>
                <w:sz w:val="24"/>
                <w:szCs w:val="24"/>
              </w:rPr>
              <w:t>日内，</w:t>
            </w:r>
            <w:r>
              <w:rPr>
                <w:rFonts w:ascii="宋体" w:hAnsi="宋体" w:eastAsia="宋体" w:cs="宋体"/>
                <w:sz w:val="24"/>
                <w:szCs w:val="24"/>
              </w:rPr>
              <w:t>学校全额转账</w:t>
            </w:r>
            <w:r>
              <w:rPr>
                <w:rFonts w:hint="default" w:ascii="宋体" w:hAnsi="宋体" w:eastAsia="宋体" w:cs="宋体"/>
                <w:sz w:val="24"/>
                <w:szCs w:val="24"/>
              </w:rPr>
              <w:t>支付</w:t>
            </w:r>
            <w:r>
              <w:rPr>
                <w:rFonts w:ascii="宋体" w:hAnsi="宋体" w:eastAsia="宋体" w:cs="宋体"/>
                <w:sz w:val="24"/>
                <w:szCs w:val="24"/>
              </w:rPr>
              <w:t>。</w:t>
            </w:r>
            <w:r>
              <w:rPr>
                <w:rFonts w:hint="default" w:ascii="宋体" w:hAnsi="宋体" w:eastAsia="宋体" w:cs="宋体"/>
                <w:sz w:val="24"/>
                <w:szCs w:val="24"/>
              </w:rPr>
              <w:t xml:space="preserve"> </w:t>
            </w:r>
          </w:p>
        </w:tc>
      </w:tr>
    </w:tbl>
    <w:p w14:paraId="40800655">
      <w:pPr>
        <w:spacing w:before="240" w:line="360" w:lineRule="auto"/>
        <w:rPr>
          <w:rFonts w:hint="default" w:ascii="宋体" w:hAnsi="宋体" w:eastAsia="宋体"/>
          <w:b/>
          <w:sz w:val="24"/>
          <w:szCs w:val="24"/>
        </w:rPr>
      </w:pPr>
      <w:r>
        <w:rPr>
          <w:rFonts w:ascii="宋体" w:hAnsi="宋体" w:eastAsia="宋体"/>
          <w:b/>
          <w:sz w:val="24"/>
          <w:szCs w:val="24"/>
        </w:rPr>
        <w:t>七、售后服务要求</w:t>
      </w:r>
    </w:p>
    <w:tbl>
      <w:tblPr>
        <w:tblStyle w:val="24"/>
        <w:tblW w:w="8504" w:type="dxa"/>
        <w:jc w:val="center"/>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7E7"/>
        <w:tblLayout w:type="fixed"/>
        <w:tblCellMar>
          <w:top w:w="0" w:type="dxa"/>
          <w:left w:w="0" w:type="dxa"/>
          <w:bottom w:w="0" w:type="dxa"/>
          <w:right w:w="0" w:type="dxa"/>
        </w:tblCellMar>
      </w:tblPr>
      <w:tblGrid>
        <w:gridCol w:w="850"/>
        <w:gridCol w:w="2122"/>
        <w:gridCol w:w="5532"/>
      </w:tblGrid>
      <w:tr w14:paraId="62A0B738">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7E7"/>
          <w:tblCellMar>
            <w:top w:w="0" w:type="dxa"/>
            <w:left w:w="0" w:type="dxa"/>
            <w:bottom w:w="0" w:type="dxa"/>
            <w:right w:w="0" w:type="dxa"/>
          </w:tblCellMar>
        </w:tblPrEx>
        <w:trPr>
          <w:trHeight w:val="567" w:hRule="atLeast"/>
          <w:jc w:val="center"/>
        </w:trPr>
        <w:tc>
          <w:tcPr>
            <w:tcW w:w="850" w:type="dxa"/>
            <w:tcBorders>
              <w:top w:val="single" w:color="000000" w:sz="4" w:space="0"/>
              <w:left w:val="single" w:color="000000" w:sz="4" w:space="0"/>
              <w:bottom w:val="single" w:color="000000" w:sz="4" w:space="0"/>
              <w:right w:val="single" w:color="000000" w:sz="4" w:space="0"/>
            </w:tcBorders>
            <w:shd w:val="clear" w:color="auto" w:fill="CED7E7"/>
            <w:tcMar>
              <w:top w:w="80" w:type="dxa"/>
              <w:left w:w="80" w:type="dxa"/>
              <w:bottom w:w="80" w:type="dxa"/>
              <w:right w:w="80" w:type="dxa"/>
            </w:tcMar>
            <w:vAlign w:val="center"/>
          </w:tcPr>
          <w:p w14:paraId="5DB0A4D2">
            <w:pPr>
              <w:jc w:val="center"/>
              <w:rPr>
                <w:rFonts w:hint="default" w:ascii="宋体" w:hAnsi="宋体" w:eastAsia="宋体"/>
                <w:kern w:val="0"/>
                <w:sz w:val="24"/>
                <w:szCs w:val="24"/>
              </w:rPr>
            </w:pPr>
            <w:r>
              <w:rPr>
                <w:rFonts w:ascii="宋体" w:hAnsi="宋体" w:eastAsia="宋体"/>
                <w:b/>
                <w:bCs/>
                <w:kern w:val="0"/>
                <w:sz w:val="24"/>
                <w:szCs w:val="24"/>
              </w:rPr>
              <w:t>序号</w:t>
            </w:r>
          </w:p>
        </w:tc>
        <w:tc>
          <w:tcPr>
            <w:tcW w:w="7654" w:type="dxa"/>
            <w:gridSpan w:val="2"/>
            <w:tcBorders>
              <w:top w:val="single" w:color="000000" w:sz="4" w:space="0"/>
              <w:left w:val="single" w:color="000000" w:sz="4" w:space="0"/>
              <w:bottom w:val="single" w:color="000000" w:sz="4" w:space="0"/>
              <w:right w:val="single" w:color="000000" w:sz="4" w:space="0"/>
            </w:tcBorders>
            <w:shd w:val="clear" w:color="auto" w:fill="CED7E7"/>
            <w:tcMar>
              <w:top w:w="80" w:type="dxa"/>
              <w:left w:w="80" w:type="dxa"/>
              <w:bottom w:w="80" w:type="dxa"/>
              <w:right w:w="80" w:type="dxa"/>
            </w:tcMar>
            <w:vAlign w:val="center"/>
          </w:tcPr>
          <w:p w14:paraId="5CAFE2E8">
            <w:pPr>
              <w:jc w:val="center"/>
              <w:rPr>
                <w:rFonts w:hint="default" w:ascii="宋体" w:hAnsi="宋体" w:eastAsia="宋体" w:cs="宋体"/>
                <w:sz w:val="24"/>
                <w:szCs w:val="24"/>
              </w:rPr>
            </w:pPr>
            <w:r>
              <w:rPr>
                <w:rFonts w:ascii="宋体" w:hAnsi="宋体" w:eastAsia="宋体"/>
                <w:b/>
                <w:bCs/>
                <w:kern w:val="0"/>
                <w:sz w:val="24"/>
                <w:szCs w:val="24"/>
              </w:rPr>
              <w:t>售后服务要求</w:t>
            </w:r>
          </w:p>
        </w:tc>
      </w:tr>
      <w:tr w14:paraId="52A40AD3">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7E7"/>
          <w:tblCellMar>
            <w:top w:w="0" w:type="dxa"/>
            <w:left w:w="0" w:type="dxa"/>
            <w:bottom w:w="0" w:type="dxa"/>
            <w:right w:w="0" w:type="dxa"/>
          </w:tblCellMar>
        </w:tblPrEx>
        <w:trPr>
          <w:trHeight w:val="567" w:hRule="atLeast"/>
          <w:jc w:val="center"/>
        </w:trPr>
        <w:tc>
          <w:tcPr>
            <w:tcW w:w="850" w:type="dxa"/>
            <w:tcBorders>
              <w:top w:val="single" w:color="000000" w:sz="4" w:space="0"/>
              <w:left w:val="single" w:color="000000" w:sz="4" w:space="0"/>
              <w:bottom w:val="single" w:color="000000" w:sz="4" w:space="0"/>
              <w:right w:val="single" w:color="000000" w:sz="4" w:space="0"/>
            </w:tcBorders>
            <w:shd w:val="clear" w:color="auto" w:fill="CED7E7"/>
            <w:tcMar>
              <w:top w:w="80" w:type="dxa"/>
              <w:left w:w="80" w:type="dxa"/>
              <w:bottom w:w="80" w:type="dxa"/>
              <w:right w:w="80" w:type="dxa"/>
            </w:tcMar>
            <w:vAlign w:val="center"/>
          </w:tcPr>
          <w:p w14:paraId="612249C5">
            <w:pPr>
              <w:jc w:val="center"/>
              <w:rPr>
                <w:rFonts w:hint="default" w:ascii="宋体" w:hAnsi="宋体" w:eastAsia="宋体"/>
                <w:kern w:val="0"/>
                <w:sz w:val="24"/>
                <w:szCs w:val="24"/>
              </w:rPr>
            </w:pPr>
            <w:r>
              <w:rPr>
                <w:rFonts w:ascii="宋体" w:hAnsi="宋体" w:eastAsia="宋体"/>
                <w:kern w:val="0"/>
                <w:sz w:val="24"/>
                <w:szCs w:val="24"/>
              </w:rPr>
              <w:t>1</w:t>
            </w:r>
          </w:p>
        </w:tc>
        <w:tc>
          <w:tcPr>
            <w:tcW w:w="2122" w:type="dxa"/>
            <w:tcBorders>
              <w:top w:val="single" w:color="000000" w:sz="4" w:space="0"/>
              <w:left w:val="single" w:color="000000" w:sz="4" w:space="0"/>
              <w:bottom w:val="single" w:color="000000" w:sz="4" w:space="0"/>
              <w:right w:val="single" w:color="000000" w:sz="4" w:space="0"/>
            </w:tcBorders>
            <w:shd w:val="clear" w:color="auto" w:fill="CED7E7"/>
            <w:tcMar>
              <w:top w:w="80" w:type="dxa"/>
              <w:left w:w="80" w:type="dxa"/>
              <w:bottom w:w="80" w:type="dxa"/>
              <w:right w:w="80" w:type="dxa"/>
            </w:tcMar>
            <w:vAlign w:val="center"/>
          </w:tcPr>
          <w:p w14:paraId="5425C4CF">
            <w:pPr>
              <w:rPr>
                <w:rFonts w:hint="default" w:ascii="宋体" w:hAnsi="宋体" w:eastAsia="宋体" w:cs="宋体"/>
                <w:sz w:val="24"/>
                <w:szCs w:val="24"/>
              </w:rPr>
            </w:pPr>
            <w:r>
              <w:rPr>
                <w:rFonts w:ascii="宋体" w:hAnsi="宋体" w:eastAsia="宋体" w:cs="宋体"/>
                <w:sz w:val="24"/>
                <w:szCs w:val="24"/>
              </w:rPr>
              <w:t>技术支持服务</w:t>
            </w:r>
          </w:p>
        </w:tc>
        <w:tc>
          <w:tcPr>
            <w:tcW w:w="5532" w:type="dxa"/>
            <w:tcBorders>
              <w:top w:val="single" w:color="000000" w:sz="4" w:space="0"/>
              <w:left w:val="single" w:color="000000" w:sz="4" w:space="0"/>
              <w:bottom w:val="single" w:color="000000" w:sz="4" w:space="0"/>
              <w:right w:val="single" w:color="000000" w:sz="4" w:space="0"/>
            </w:tcBorders>
            <w:shd w:val="clear" w:color="auto" w:fill="CED7E7"/>
            <w:vAlign w:val="center"/>
          </w:tcPr>
          <w:p w14:paraId="7B750093">
            <w:pPr>
              <w:rPr>
                <w:rFonts w:hint="default" w:ascii="宋体" w:hAnsi="宋体" w:eastAsia="宋体" w:cs="宋体"/>
                <w:sz w:val="24"/>
                <w:szCs w:val="24"/>
              </w:rPr>
            </w:pPr>
            <w:r>
              <w:rPr>
                <w:rFonts w:ascii="宋体" w:hAnsi="宋体" w:eastAsia="宋体" w:cs="宋体"/>
                <w:sz w:val="24"/>
                <w:szCs w:val="24"/>
              </w:rPr>
              <w:t>协议开始后3年内</w:t>
            </w:r>
            <w:r>
              <w:rPr>
                <w:rFonts w:hint="default" w:ascii="宋体" w:hAnsi="宋体" w:eastAsia="宋体" w:cs="宋体"/>
                <w:sz w:val="24"/>
                <w:szCs w:val="24"/>
              </w:rPr>
              <w:t>，提供7×24小时技术咨询支持</w:t>
            </w:r>
            <w:r>
              <w:rPr>
                <w:rFonts w:ascii="宋体" w:hAnsi="宋体" w:eastAsia="宋体" w:cs="宋体"/>
                <w:sz w:val="24"/>
                <w:szCs w:val="24"/>
              </w:rPr>
              <w:t>（含电话、在线客服等渠道），协助解决教师及管理员在使用平台咨询模块过程中遇到的专家信息查询、咨询服务预约、预约订单管理、服务状态更新、消息通知及平台操作等问题，保障咨询服务相关功能的正常运行。</w:t>
            </w:r>
          </w:p>
        </w:tc>
      </w:tr>
      <w:tr w14:paraId="70E012BE">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0" w:type="dxa"/>
            <w:bottom w:w="0" w:type="dxa"/>
            <w:right w:w="0" w:type="dxa"/>
          </w:tblCellMar>
        </w:tblPrEx>
        <w:trPr>
          <w:trHeight w:val="567" w:hRule="atLeast"/>
          <w:jc w:val="center"/>
        </w:trPr>
        <w:tc>
          <w:tcPr>
            <w:tcW w:w="850" w:type="dxa"/>
            <w:tcBorders>
              <w:top w:val="single" w:color="000000" w:sz="4" w:space="0"/>
              <w:left w:val="single" w:color="000000" w:sz="4" w:space="0"/>
              <w:bottom w:val="single" w:color="000000" w:sz="4" w:space="0"/>
              <w:right w:val="single" w:color="000000" w:sz="4" w:space="0"/>
            </w:tcBorders>
            <w:shd w:val="clear" w:color="auto" w:fill="CED7E7"/>
            <w:tcMar>
              <w:top w:w="80" w:type="dxa"/>
              <w:left w:w="80" w:type="dxa"/>
              <w:bottom w:w="80" w:type="dxa"/>
              <w:right w:w="80" w:type="dxa"/>
            </w:tcMar>
            <w:vAlign w:val="center"/>
          </w:tcPr>
          <w:p w14:paraId="719172C8">
            <w:pPr>
              <w:jc w:val="center"/>
              <w:rPr>
                <w:rFonts w:hint="default" w:ascii="宋体" w:hAnsi="宋体" w:eastAsia="宋体"/>
                <w:kern w:val="0"/>
                <w:sz w:val="24"/>
                <w:szCs w:val="24"/>
              </w:rPr>
            </w:pPr>
            <w:r>
              <w:rPr>
                <w:rFonts w:ascii="宋体" w:hAnsi="宋体" w:eastAsia="宋体"/>
                <w:kern w:val="0"/>
                <w:sz w:val="24"/>
                <w:szCs w:val="24"/>
              </w:rPr>
              <w:t>2</w:t>
            </w:r>
          </w:p>
        </w:tc>
        <w:tc>
          <w:tcPr>
            <w:tcW w:w="2122" w:type="dxa"/>
            <w:tcBorders>
              <w:top w:val="single" w:color="000000" w:sz="4" w:space="0"/>
              <w:left w:val="single" w:color="000000" w:sz="4" w:space="0"/>
              <w:bottom w:val="single" w:color="000000" w:sz="4" w:space="0"/>
              <w:right w:val="single" w:color="000000" w:sz="4" w:space="0"/>
            </w:tcBorders>
            <w:shd w:val="clear" w:color="auto" w:fill="CED7E7"/>
            <w:tcMar>
              <w:top w:w="80" w:type="dxa"/>
              <w:left w:w="80" w:type="dxa"/>
              <w:bottom w:w="80" w:type="dxa"/>
              <w:right w:w="80" w:type="dxa"/>
            </w:tcMar>
            <w:vAlign w:val="center"/>
          </w:tcPr>
          <w:p w14:paraId="7491A012">
            <w:pPr>
              <w:rPr>
                <w:rFonts w:hint="default" w:ascii="宋体" w:hAnsi="宋体" w:eastAsia="宋体" w:cs="宋体"/>
                <w:sz w:val="24"/>
                <w:szCs w:val="24"/>
              </w:rPr>
            </w:pPr>
            <w:r>
              <w:rPr>
                <w:rFonts w:ascii="宋体" w:hAnsi="宋体" w:eastAsia="宋体" w:cs="宋体"/>
                <w:sz w:val="24"/>
                <w:szCs w:val="24"/>
              </w:rPr>
              <w:t>平台功能维护服务</w:t>
            </w:r>
          </w:p>
        </w:tc>
        <w:tc>
          <w:tcPr>
            <w:tcW w:w="5532" w:type="dxa"/>
            <w:tcBorders>
              <w:top w:val="single" w:color="000000" w:sz="4" w:space="0"/>
              <w:left w:val="single" w:color="000000" w:sz="4" w:space="0"/>
              <w:bottom w:val="single" w:color="000000" w:sz="4" w:space="0"/>
              <w:right w:val="single" w:color="000000" w:sz="4" w:space="0"/>
            </w:tcBorders>
            <w:shd w:val="clear" w:color="auto" w:fill="CED7E7"/>
            <w:vAlign w:val="center"/>
          </w:tcPr>
          <w:p w14:paraId="73ED4795">
            <w:pPr>
              <w:rPr>
                <w:rFonts w:hint="default" w:ascii="宋体" w:hAnsi="宋体" w:eastAsia="宋体" w:cs="宋体"/>
                <w:sz w:val="24"/>
                <w:szCs w:val="24"/>
              </w:rPr>
            </w:pPr>
            <w:r>
              <w:rPr>
                <w:rFonts w:ascii="宋体" w:hAnsi="宋体" w:eastAsia="宋体" w:cs="宋体"/>
                <w:sz w:val="24"/>
                <w:szCs w:val="24"/>
              </w:rPr>
              <w:t>项目交付后3年内，需根据学校教师发展咨询服务业务需求及平台运维反馈，持续开展咨询模块的功能更新与运维优化，完善专家管理、咨询预约、订单管理及服务评价等功能，及时修复系统问题，保障平台咨询服务的稳定运行与持续优化。</w:t>
            </w:r>
          </w:p>
        </w:tc>
      </w:tr>
      <w:tr w14:paraId="4E03552D">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0" w:type="dxa"/>
            <w:bottom w:w="0" w:type="dxa"/>
            <w:right w:w="0" w:type="dxa"/>
          </w:tblCellMar>
        </w:tblPrEx>
        <w:trPr>
          <w:trHeight w:val="567" w:hRule="atLeast"/>
          <w:jc w:val="center"/>
        </w:trPr>
        <w:tc>
          <w:tcPr>
            <w:tcW w:w="850" w:type="dxa"/>
            <w:tcBorders>
              <w:top w:val="single" w:color="000000" w:sz="4" w:space="0"/>
              <w:left w:val="single" w:color="000000" w:sz="4" w:space="0"/>
              <w:bottom w:val="single" w:color="000000" w:sz="4" w:space="0"/>
              <w:right w:val="single" w:color="000000" w:sz="4" w:space="0"/>
            </w:tcBorders>
            <w:shd w:val="clear" w:color="auto" w:fill="CED7E7"/>
            <w:tcMar>
              <w:top w:w="80" w:type="dxa"/>
              <w:left w:w="80" w:type="dxa"/>
              <w:bottom w:w="80" w:type="dxa"/>
              <w:right w:w="80" w:type="dxa"/>
            </w:tcMar>
            <w:vAlign w:val="center"/>
          </w:tcPr>
          <w:p w14:paraId="0622BED4">
            <w:pPr>
              <w:jc w:val="center"/>
              <w:rPr>
                <w:rFonts w:hint="default" w:ascii="宋体" w:hAnsi="宋体" w:eastAsia="宋体"/>
                <w:kern w:val="0"/>
                <w:sz w:val="24"/>
                <w:szCs w:val="24"/>
              </w:rPr>
            </w:pPr>
            <w:r>
              <w:rPr>
                <w:rFonts w:ascii="宋体" w:hAnsi="宋体" w:eastAsia="宋体"/>
                <w:kern w:val="0"/>
                <w:sz w:val="24"/>
                <w:szCs w:val="24"/>
              </w:rPr>
              <w:t>3</w:t>
            </w:r>
          </w:p>
        </w:tc>
        <w:tc>
          <w:tcPr>
            <w:tcW w:w="2122" w:type="dxa"/>
            <w:tcBorders>
              <w:top w:val="single" w:color="000000" w:sz="4" w:space="0"/>
              <w:left w:val="single" w:color="000000" w:sz="4" w:space="0"/>
              <w:bottom w:val="single" w:color="000000" w:sz="4" w:space="0"/>
              <w:right w:val="single" w:color="000000" w:sz="4" w:space="0"/>
            </w:tcBorders>
            <w:shd w:val="clear" w:color="auto" w:fill="CED7E7"/>
            <w:tcMar>
              <w:top w:w="80" w:type="dxa"/>
              <w:left w:w="80" w:type="dxa"/>
              <w:bottom w:w="80" w:type="dxa"/>
              <w:right w:w="80" w:type="dxa"/>
            </w:tcMar>
            <w:vAlign w:val="center"/>
          </w:tcPr>
          <w:p w14:paraId="6438B029">
            <w:pPr>
              <w:rPr>
                <w:rFonts w:hint="default" w:ascii="宋体" w:hAnsi="宋体" w:eastAsia="宋体" w:cs="宋体"/>
                <w:sz w:val="24"/>
                <w:szCs w:val="24"/>
              </w:rPr>
            </w:pPr>
            <w:r>
              <w:rPr>
                <w:rFonts w:ascii="宋体" w:hAnsi="宋体" w:eastAsia="宋体" w:cs="宋体"/>
                <w:sz w:val="24"/>
                <w:szCs w:val="24"/>
              </w:rPr>
              <w:t>资料与培训服务</w:t>
            </w:r>
          </w:p>
        </w:tc>
        <w:tc>
          <w:tcPr>
            <w:tcW w:w="5532" w:type="dxa"/>
            <w:tcBorders>
              <w:top w:val="single" w:color="000000" w:sz="4" w:space="0"/>
              <w:left w:val="single" w:color="000000" w:sz="4" w:space="0"/>
              <w:bottom w:val="single" w:color="000000" w:sz="4" w:space="0"/>
              <w:right w:val="single" w:color="000000" w:sz="4" w:space="0"/>
            </w:tcBorders>
            <w:shd w:val="clear" w:color="auto" w:fill="CED7E7"/>
            <w:vAlign w:val="center"/>
          </w:tcPr>
          <w:p w14:paraId="7DFF80F6">
            <w:pPr>
              <w:rPr>
                <w:rFonts w:hint="default" w:ascii="宋体" w:hAnsi="宋体" w:eastAsia="宋体" w:cs="宋体"/>
                <w:sz w:val="24"/>
                <w:szCs w:val="24"/>
              </w:rPr>
            </w:pPr>
            <w:r>
              <w:rPr>
                <w:rFonts w:ascii="宋体" w:hAnsi="宋体" w:eastAsia="宋体" w:cs="宋体"/>
                <w:sz w:val="24"/>
                <w:szCs w:val="24"/>
              </w:rPr>
              <w:t>项目交付后，需提供平台咨询模块使用手册（含平台操作指南、常见问题解答）和免费培训服务，确保教师及管理员能够熟练使用咨询预约、专家管理、订单管理等相关功能。</w:t>
            </w:r>
          </w:p>
        </w:tc>
      </w:tr>
      <w:tr w14:paraId="641D1C17">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0" w:type="dxa"/>
            <w:bottom w:w="0" w:type="dxa"/>
            <w:right w:w="0" w:type="dxa"/>
          </w:tblCellMar>
        </w:tblPrEx>
        <w:trPr>
          <w:trHeight w:val="567" w:hRule="atLeast"/>
          <w:jc w:val="center"/>
        </w:trPr>
        <w:tc>
          <w:tcPr>
            <w:tcW w:w="850" w:type="dxa"/>
            <w:tcBorders>
              <w:top w:val="single" w:color="000000" w:sz="4" w:space="0"/>
              <w:left w:val="single" w:color="000000" w:sz="4" w:space="0"/>
              <w:bottom w:val="single" w:color="000000" w:sz="4" w:space="0"/>
              <w:right w:val="single" w:color="000000" w:sz="4" w:space="0"/>
            </w:tcBorders>
            <w:shd w:val="clear" w:color="auto" w:fill="CED7E7"/>
            <w:tcMar>
              <w:top w:w="80" w:type="dxa"/>
              <w:left w:w="80" w:type="dxa"/>
              <w:bottom w:w="80" w:type="dxa"/>
              <w:right w:w="80" w:type="dxa"/>
            </w:tcMar>
            <w:vAlign w:val="center"/>
          </w:tcPr>
          <w:p w14:paraId="0BA0683F">
            <w:pPr>
              <w:jc w:val="center"/>
              <w:rPr>
                <w:rFonts w:hint="default" w:ascii="宋体" w:hAnsi="宋体" w:eastAsia="宋体"/>
                <w:kern w:val="0"/>
                <w:sz w:val="24"/>
                <w:szCs w:val="24"/>
              </w:rPr>
            </w:pPr>
            <w:r>
              <w:rPr>
                <w:rFonts w:ascii="宋体" w:hAnsi="宋体" w:eastAsia="宋体"/>
                <w:kern w:val="0"/>
                <w:sz w:val="24"/>
                <w:szCs w:val="24"/>
              </w:rPr>
              <w:t>4</w:t>
            </w:r>
          </w:p>
        </w:tc>
        <w:tc>
          <w:tcPr>
            <w:tcW w:w="2122" w:type="dxa"/>
            <w:tcBorders>
              <w:top w:val="single" w:color="000000" w:sz="4" w:space="0"/>
              <w:left w:val="single" w:color="000000" w:sz="4" w:space="0"/>
              <w:bottom w:val="single" w:color="000000" w:sz="4" w:space="0"/>
              <w:right w:val="single" w:color="000000" w:sz="4" w:space="0"/>
            </w:tcBorders>
            <w:shd w:val="clear" w:color="auto" w:fill="CED7E7"/>
            <w:tcMar>
              <w:top w:w="80" w:type="dxa"/>
              <w:left w:w="80" w:type="dxa"/>
              <w:bottom w:w="80" w:type="dxa"/>
              <w:right w:w="80" w:type="dxa"/>
            </w:tcMar>
            <w:vAlign w:val="center"/>
          </w:tcPr>
          <w:p w14:paraId="18AD4C26">
            <w:pPr>
              <w:rPr>
                <w:rFonts w:hint="default" w:ascii="宋体" w:hAnsi="宋体" w:eastAsia="宋体" w:cs="宋体"/>
                <w:sz w:val="24"/>
                <w:szCs w:val="24"/>
              </w:rPr>
            </w:pPr>
            <w:r>
              <w:rPr>
                <w:rFonts w:ascii="宋体" w:hAnsi="宋体" w:eastAsia="宋体" w:cs="宋体"/>
                <w:sz w:val="24"/>
                <w:szCs w:val="24"/>
              </w:rPr>
              <w:t>质保期限</w:t>
            </w:r>
          </w:p>
        </w:tc>
        <w:tc>
          <w:tcPr>
            <w:tcW w:w="5532" w:type="dxa"/>
            <w:tcBorders>
              <w:top w:val="single" w:color="000000" w:sz="4" w:space="0"/>
              <w:left w:val="single" w:color="000000" w:sz="4" w:space="0"/>
              <w:bottom w:val="single" w:color="000000" w:sz="4" w:space="0"/>
              <w:right w:val="single" w:color="000000" w:sz="4" w:space="0"/>
            </w:tcBorders>
            <w:shd w:val="clear" w:color="auto" w:fill="CED7E7"/>
            <w:vAlign w:val="center"/>
          </w:tcPr>
          <w:p w14:paraId="23CBFFB2">
            <w:pPr>
              <w:rPr>
                <w:rFonts w:hint="default" w:ascii="宋体" w:hAnsi="宋体" w:eastAsia="宋体" w:cs="宋体"/>
                <w:sz w:val="24"/>
                <w:szCs w:val="24"/>
              </w:rPr>
            </w:pPr>
            <w:r>
              <w:rPr>
                <w:rFonts w:ascii="宋体" w:hAnsi="宋体" w:eastAsia="宋体" w:cs="宋体"/>
                <w:sz w:val="24"/>
                <w:szCs w:val="24"/>
              </w:rPr>
              <w:t>需承诺本项目质保期不低于3年。</w:t>
            </w:r>
          </w:p>
        </w:tc>
      </w:tr>
    </w:tbl>
    <w:p w14:paraId="379F8280">
      <w:pPr>
        <w:spacing w:before="240" w:line="360" w:lineRule="auto"/>
        <w:rPr>
          <w:rFonts w:hint="default" w:ascii="宋体" w:hAnsi="宋体" w:eastAsia="宋体"/>
          <w:b/>
          <w:sz w:val="24"/>
          <w:szCs w:val="24"/>
        </w:rPr>
      </w:pPr>
      <w:r>
        <w:rPr>
          <w:rFonts w:ascii="宋体" w:hAnsi="宋体" w:eastAsia="宋体"/>
          <w:b/>
          <w:sz w:val="24"/>
          <w:szCs w:val="24"/>
        </w:rPr>
        <w:t>八、评分标准</w:t>
      </w:r>
    </w:p>
    <w:tbl>
      <w:tblPr>
        <w:tblStyle w:val="14"/>
        <w:tblW w:w="850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850"/>
        <w:gridCol w:w="2551"/>
        <w:gridCol w:w="1417"/>
        <w:gridCol w:w="3685"/>
      </w:tblGrid>
      <w:tr w14:paraId="07E818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850" w:type="dxa"/>
            <w:tcMar>
              <w:top w:w="79" w:type="dxa"/>
              <w:left w:w="79" w:type="dxa"/>
              <w:bottom w:w="79" w:type="dxa"/>
              <w:right w:w="79" w:type="dxa"/>
            </w:tcMar>
            <w:vAlign w:val="center"/>
          </w:tcPr>
          <w:p w14:paraId="352F9C53">
            <w:pPr>
              <w:jc w:val="center"/>
              <w:rPr>
                <w:rFonts w:hint="default" w:ascii="宋体" w:hAnsi="宋体" w:eastAsia="宋体" w:cs="宋体"/>
                <w:b/>
                <w:bCs/>
                <w:sz w:val="24"/>
                <w:szCs w:val="24"/>
              </w:rPr>
            </w:pPr>
            <w:r>
              <w:rPr>
                <w:rFonts w:ascii="宋体" w:hAnsi="宋体" w:eastAsia="宋体" w:cs="宋体"/>
                <w:b/>
                <w:bCs/>
                <w:sz w:val="24"/>
                <w:szCs w:val="24"/>
              </w:rPr>
              <w:t>序号</w:t>
            </w:r>
          </w:p>
        </w:tc>
        <w:tc>
          <w:tcPr>
            <w:tcW w:w="2551" w:type="dxa"/>
            <w:tcMar>
              <w:top w:w="79" w:type="dxa"/>
              <w:left w:w="79" w:type="dxa"/>
              <w:bottom w:w="79" w:type="dxa"/>
              <w:right w:w="79" w:type="dxa"/>
            </w:tcMar>
            <w:vAlign w:val="center"/>
          </w:tcPr>
          <w:p w14:paraId="7BFBBFC8">
            <w:pPr>
              <w:jc w:val="center"/>
              <w:rPr>
                <w:rFonts w:hint="default" w:ascii="宋体" w:hAnsi="宋体" w:eastAsia="宋体" w:cs="宋体"/>
                <w:b/>
                <w:bCs/>
                <w:sz w:val="24"/>
                <w:szCs w:val="24"/>
              </w:rPr>
            </w:pPr>
            <w:r>
              <w:rPr>
                <w:rFonts w:ascii="宋体" w:hAnsi="宋体" w:eastAsia="宋体" w:cs="宋体"/>
                <w:b/>
                <w:bCs/>
                <w:sz w:val="24"/>
                <w:szCs w:val="24"/>
              </w:rPr>
              <w:t>评标要素</w:t>
            </w:r>
          </w:p>
        </w:tc>
        <w:tc>
          <w:tcPr>
            <w:tcW w:w="1417" w:type="dxa"/>
            <w:tcMar>
              <w:top w:w="79" w:type="dxa"/>
              <w:left w:w="79" w:type="dxa"/>
              <w:bottom w:w="79" w:type="dxa"/>
              <w:right w:w="79" w:type="dxa"/>
            </w:tcMar>
            <w:vAlign w:val="center"/>
          </w:tcPr>
          <w:p w14:paraId="0A05745B">
            <w:pPr>
              <w:jc w:val="center"/>
              <w:rPr>
                <w:rFonts w:hint="default" w:ascii="宋体" w:hAnsi="宋体" w:eastAsia="宋体" w:cs="宋体"/>
                <w:b/>
                <w:bCs/>
                <w:sz w:val="24"/>
                <w:szCs w:val="24"/>
              </w:rPr>
            </w:pPr>
            <w:r>
              <w:rPr>
                <w:rFonts w:ascii="宋体" w:hAnsi="宋体" w:eastAsia="宋体" w:cs="宋体"/>
                <w:b/>
                <w:bCs/>
                <w:sz w:val="24"/>
                <w:szCs w:val="24"/>
              </w:rPr>
              <w:t>满分分值</w:t>
            </w:r>
          </w:p>
        </w:tc>
        <w:tc>
          <w:tcPr>
            <w:tcW w:w="3685" w:type="dxa"/>
            <w:tcMar>
              <w:top w:w="79" w:type="dxa"/>
              <w:left w:w="79" w:type="dxa"/>
              <w:bottom w:w="79" w:type="dxa"/>
              <w:right w:w="79" w:type="dxa"/>
            </w:tcMar>
            <w:vAlign w:val="center"/>
          </w:tcPr>
          <w:p w14:paraId="79B0E5D4">
            <w:pPr>
              <w:jc w:val="center"/>
              <w:rPr>
                <w:rFonts w:hint="default" w:ascii="宋体" w:hAnsi="宋体" w:eastAsia="宋体" w:cs="宋体"/>
                <w:b/>
                <w:bCs/>
                <w:sz w:val="24"/>
                <w:szCs w:val="24"/>
              </w:rPr>
            </w:pPr>
            <w:r>
              <w:rPr>
                <w:rFonts w:ascii="宋体" w:hAnsi="宋体" w:eastAsia="宋体" w:cs="宋体"/>
                <w:b/>
                <w:bCs/>
                <w:sz w:val="24"/>
                <w:szCs w:val="24"/>
              </w:rPr>
              <w:t>主要评标内容</w:t>
            </w:r>
          </w:p>
        </w:tc>
      </w:tr>
      <w:tr w14:paraId="2C6908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Header/>
          <w:jc w:val="center"/>
        </w:trPr>
        <w:tc>
          <w:tcPr>
            <w:tcW w:w="850" w:type="dxa"/>
            <w:tcMar>
              <w:top w:w="79" w:type="dxa"/>
              <w:left w:w="79" w:type="dxa"/>
              <w:bottom w:w="79" w:type="dxa"/>
              <w:right w:w="79" w:type="dxa"/>
            </w:tcMar>
            <w:vAlign w:val="center"/>
          </w:tcPr>
          <w:p w14:paraId="5DBC6872">
            <w:pPr>
              <w:pStyle w:val="2"/>
              <w:spacing w:line="360" w:lineRule="auto"/>
              <w:ind w:firstLine="0"/>
              <w:jc w:val="center"/>
              <w:rPr>
                <w:rFonts w:hint="default" w:ascii="宋体" w:hAnsi="宋体" w:eastAsia="宋体"/>
                <w:sz w:val="24"/>
                <w:szCs w:val="24"/>
              </w:rPr>
            </w:pPr>
            <w:r>
              <w:rPr>
                <w:rFonts w:ascii="宋体" w:hAnsi="宋体" w:eastAsia="宋体"/>
                <w:sz w:val="24"/>
                <w:szCs w:val="24"/>
              </w:rPr>
              <w:t>1</w:t>
            </w:r>
          </w:p>
        </w:tc>
        <w:tc>
          <w:tcPr>
            <w:tcW w:w="2551" w:type="dxa"/>
            <w:tcMar>
              <w:top w:w="79" w:type="dxa"/>
              <w:left w:w="79" w:type="dxa"/>
              <w:bottom w:w="79" w:type="dxa"/>
              <w:right w:w="79" w:type="dxa"/>
            </w:tcMar>
            <w:vAlign w:val="center"/>
          </w:tcPr>
          <w:p w14:paraId="44195A83">
            <w:pPr>
              <w:pStyle w:val="2"/>
              <w:spacing w:line="360" w:lineRule="auto"/>
              <w:ind w:firstLine="0"/>
              <w:jc w:val="center"/>
              <w:rPr>
                <w:rFonts w:hint="default" w:ascii="宋体" w:hAnsi="宋体" w:eastAsia="宋体"/>
                <w:sz w:val="24"/>
                <w:szCs w:val="24"/>
              </w:rPr>
            </w:pPr>
            <w:r>
              <w:rPr>
                <w:rFonts w:ascii="宋体" w:hAnsi="宋体" w:eastAsia="宋体"/>
                <w:sz w:val="24"/>
                <w:szCs w:val="24"/>
              </w:rPr>
              <w:t>商务报价</w:t>
            </w:r>
          </w:p>
        </w:tc>
        <w:tc>
          <w:tcPr>
            <w:tcW w:w="1417" w:type="dxa"/>
            <w:tcMar>
              <w:top w:w="79" w:type="dxa"/>
              <w:left w:w="79" w:type="dxa"/>
              <w:bottom w:w="79" w:type="dxa"/>
              <w:right w:w="79" w:type="dxa"/>
            </w:tcMar>
            <w:vAlign w:val="center"/>
          </w:tcPr>
          <w:p w14:paraId="0C3C00A4">
            <w:pPr>
              <w:pStyle w:val="2"/>
              <w:spacing w:line="360" w:lineRule="auto"/>
              <w:ind w:firstLine="0"/>
              <w:jc w:val="center"/>
              <w:rPr>
                <w:rFonts w:hint="default" w:ascii="宋体" w:hAnsi="宋体" w:eastAsia="宋体"/>
                <w:sz w:val="24"/>
                <w:szCs w:val="24"/>
              </w:rPr>
            </w:pPr>
            <w:r>
              <w:rPr>
                <w:rFonts w:ascii="宋体" w:hAnsi="宋体" w:eastAsia="宋体"/>
                <w:sz w:val="24"/>
                <w:szCs w:val="24"/>
              </w:rPr>
              <w:t>20</w:t>
            </w:r>
          </w:p>
        </w:tc>
        <w:tc>
          <w:tcPr>
            <w:tcW w:w="3685" w:type="dxa"/>
            <w:tcMar>
              <w:top w:w="79" w:type="dxa"/>
              <w:left w:w="79" w:type="dxa"/>
              <w:bottom w:w="79" w:type="dxa"/>
              <w:right w:w="79" w:type="dxa"/>
            </w:tcMar>
            <w:vAlign w:val="center"/>
          </w:tcPr>
          <w:p w14:paraId="77A843B7">
            <w:pPr>
              <w:rPr>
                <w:rFonts w:hint="default" w:ascii="宋体" w:hAnsi="宋体" w:eastAsia="宋体" w:cs="宋体"/>
                <w:sz w:val="24"/>
                <w:szCs w:val="24"/>
              </w:rPr>
            </w:pPr>
            <w:r>
              <w:rPr>
                <w:rFonts w:ascii="宋体" w:hAnsi="宋体" w:eastAsia="宋体" w:cs="宋体"/>
                <w:sz w:val="24"/>
                <w:szCs w:val="24"/>
              </w:rPr>
              <w:t>有效报价的最低价作为评标基准价，其最低报价为满分；按［商务报价得分=（评标基准价/商务报价）×20］的计算公式计算，价格分数保留两位小数。</w:t>
            </w:r>
          </w:p>
        </w:tc>
      </w:tr>
      <w:tr w14:paraId="7D93D3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850" w:type="dxa"/>
            <w:tcMar>
              <w:top w:w="79" w:type="dxa"/>
              <w:left w:w="79" w:type="dxa"/>
              <w:bottom w:w="79" w:type="dxa"/>
              <w:right w:w="79" w:type="dxa"/>
            </w:tcMar>
            <w:vAlign w:val="center"/>
          </w:tcPr>
          <w:p w14:paraId="2B659613">
            <w:pPr>
              <w:pStyle w:val="2"/>
              <w:spacing w:line="360" w:lineRule="auto"/>
              <w:ind w:firstLine="0"/>
              <w:jc w:val="center"/>
              <w:rPr>
                <w:rFonts w:hint="default" w:ascii="宋体" w:hAnsi="宋体" w:eastAsia="宋体"/>
                <w:sz w:val="24"/>
                <w:szCs w:val="24"/>
              </w:rPr>
            </w:pPr>
            <w:r>
              <w:rPr>
                <w:rFonts w:ascii="宋体" w:hAnsi="宋体" w:eastAsia="宋体"/>
                <w:sz w:val="24"/>
                <w:szCs w:val="24"/>
              </w:rPr>
              <w:t>2</w:t>
            </w:r>
          </w:p>
        </w:tc>
        <w:tc>
          <w:tcPr>
            <w:tcW w:w="2551" w:type="dxa"/>
            <w:tcMar>
              <w:top w:w="79" w:type="dxa"/>
              <w:left w:w="79" w:type="dxa"/>
              <w:bottom w:w="79" w:type="dxa"/>
              <w:right w:w="79" w:type="dxa"/>
            </w:tcMar>
            <w:vAlign w:val="center"/>
          </w:tcPr>
          <w:p w14:paraId="5AD3048B">
            <w:pPr>
              <w:pStyle w:val="2"/>
              <w:spacing w:line="360" w:lineRule="auto"/>
              <w:ind w:firstLine="0"/>
              <w:jc w:val="center"/>
              <w:rPr>
                <w:rFonts w:hint="default" w:ascii="宋体" w:hAnsi="宋体" w:eastAsia="宋体"/>
                <w:sz w:val="24"/>
                <w:szCs w:val="24"/>
              </w:rPr>
            </w:pPr>
            <w:r>
              <w:rPr>
                <w:rFonts w:ascii="宋体" w:hAnsi="宋体" w:eastAsia="宋体"/>
                <w:sz w:val="24"/>
                <w:szCs w:val="24"/>
              </w:rPr>
              <w:t>使用服务方案响应</w:t>
            </w:r>
          </w:p>
        </w:tc>
        <w:tc>
          <w:tcPr>
            <w:tcW w:w="1417" w:type="dxa"/>
            <w:tcMar>
              <w:top w:w="79" w:type="dxa"/>
              <w:left w:w="79" w:type="dxa"/>
              <w:bottom w:w="79" w:type="dxa"/>
              <w:right w:w="79" w:type="dxa"/>
            </w:tcMar>
            <w:vAlign w:val="center"/>
          </w:tcPr>
          <w:p w14:paraId="1F2705C6">
            <w:pPr>
              <w:pStyle w:val="2"/>
              <w:spacing w:line="360" w:lineRule="auto"/>
              <w:ind w:firstLine="0"/>
              <w:jc w:val="center"/>
              <w:rPr>
                <w:rFonts w:hint="default" w:ascii="宋体" w:hAnsi="宋体" w:eastAsia="宋体"/>
                <w:sz w:val="24"/>
                <w:szCs w:val="24"/>
              </w:rPr>
            </w:pPr>
            <w:r>
              <w:rPr>
                <w:rFonts w:ascii="宋体" w:hAnsi="宋体" w:eastAsia="宋体"/>
                <w:sz w:val="24"/>
                <w:szCs w:val="24"/>
              </w:rPr>
              <w:t>2</w:t>
            </w:r>
            <w:r>
              <w:rPr>
                <w:rFonts w:hint="default" w:ascii="宋体" w:hAnsi="宋体" w:eastAsia="宋体"/>
                <w:sz w:val="24"/>
                <w:szCs w:val="24"/>
              </w:rPr>
              <w:t>0</w:t>
            </w:r>
          </w:p>
        </w:tc>
        <w:tc>
          <w:tcPr>
            <w:tcW w:w="3685" w:type="dxa"/>
            <w:tcMar>
              <w:top w:w="79" w:type="dxa"/>
              <w:left w:w="79" w:type="dxa"/>
              <w:bottom w:w="79" w:type="dxa"/>
              <w:right w:w="79" w:type="dxa"/>
            </w:tcMar>
            <w:vAlign w:val="center"/>
          </w:tcPr>
          <w:p w14:paraId="6939C49F">
            <w:pPr>
              <w:rPr>
                <w:rFonts w:hint="default" w:ascii="宋体" w:hAnsi="宋体" w:eastAsia="宋体" w:cs="宋体"/>
                <w:sz w:val="24"/>
                <w:szCs w:val="24"/>
              </w:rPr>
            </w:pPr>
            <w:r>
              <w:rPr>
                <w:rFonts w:ascii="宋体" w:hAnsi="宋体" w:eastAsia="宋体" w:cs="宋体"/>
                <w:sz w:val="24"/>
                <w:szCs w:val="24"/>
              </w:rPr>
              <w:t>考察使用服务方案（涵盖软件系统功能设计和界面设计内容等）。</w:t>
            </w:r>
          </w:p>
          <w:p w14:paraId="3581E842">
            <w:pPr>
              <w:rPr>
                <w:rFonts w:hint="default" w:ascii="宋体" w:hAnsi="宋体" w:eastAsia="宋体" w:cs="宋体"/>
                <w:sz w:val="24"/>
                <w:szCs w:val="24"/>
              </w:rPr>
            </w:pPr>
            <w:r>
              <w:rPr>
                <w:rFonts w:ascii="宋体" w:hAnsi="宋体" w:eastAsia="宋体" w:cs="宋体"/>
                <w:sz w:val="24"/>
                <w:szCs w:val="24"/>
              </w:rPr>
              <w:t>对各供应商进行横向对比评分。</w:t>
            </w:r>
          </w:p>
          <w:p w14:paraId="00F455F3">
            <w:pPr>
              <w:rPr>
                <w:rFonts w:hint="default" w:ascii="宋体" w:hAnsi="宋体" w:eastAsia="宋体" w:cs="宋体"/>
                <w:sz w:val="24"/>
                <w:szCs w:val="24"/>
              </w:rPr>
            </w:pPr>
            <w:r>
              <w:rPr>
                <w:rFonts w:ascii="宋体" w:hAnsi="宋体" w:eastAsia="宋体" w:cs="宋体"/>
                <w:sz w:val="24"/>
                <w:szCs w:val="24"/>
              </w:rPr>
              <w:t>很好：20</w:t>
            </w:r>
            <w:r>
              <w:rPr>
                <w:rFonts w:hint="default" w:ascii="宋体" w:hAnsi="宋体" w:eastAsia="宋体" w:cs="宋体"/>
                <w:sz w:val="24"/>
                <w:szCs w:val="24"/>
              </w:rPr>
              <w:t>-16</w:t>
            </w:r>
            <w:r>
              <w:rPr>
                <w:rFonts w:ascii="宋体" w:hAnsi="宋体" w:eastAsia="宋体" w:cs="宋体"/>
                <w:sz w:val="24"/>
                <w:szCs w:val="24"/>
              </w:rPr>
              <w:t>分；较好：15</w:t>
            </w:r>
            <w:r>
              <w:rPr>
                <w:rFonts w:hint="default" w:ascii="宋体" w:hAnsi="宋体" w:eastAsia="宋体" w:cs="宋体"/>
                <w:sz w:val="24"/>
                <w:szCs w:val="24"/>
              </w:rPr>
              <w:t>-11</w:t>
            </w:r>
            <w:r>
              <w:rPr>
                <w:rFonts w:ascii="宋体" w:hAnsi="宋体" w:eastAsia="宋体" w:cs="宋体"/>
                <w:sz w:val="24"/>
                <w:szCs w:val="24"/>
              </w:rPr>
              <w:t>分；</w:t>
            </w:r>
            <w:r>
              <w:rPr>
                <w:rFonts w:hint="default" w:ascii="宋体" w:hAnsi="宋体" w:eastAsia="宋体" w:cs="宋体"/>
                <w:sz w:val="24"/>
                <w:szCs w:val="24"/>
              </w:rPr>
              <w:br w:type="textWrapping"/>
            </w:r>
            <w:r>
              <w:rPr>
                <w:rFonts w:ascii="宋体" w:hAnsi="宋体" w:eastAsia="宋体" w:cs="宋体"/>
                <w:sz w:val="24"/>
                <w:szCs w:val="24"/>
              </w:rPr>
              <w:t>一般：10</w:t>
            </w:r>
            <w:r>
              <w:rPr>
                <w:rFonts w:hint="default" w:ascii="宋体" w:hAnsi="宋体" w:eastAsia="宋体" w:cs="宋体"/>
                <w:sz w:val="24"/>
                <w:szCs w:val="24"/>
              </w:rPr>
              <w:t>-6</w:t>
            </w:r>
            <w:r>
              <w:rPr>
                <w:rFonts w:ascii="宋体" w:hAnsi="宋体" w:eastAsia="宋体" w:cs="宋体"/>
                <w:sz w:val="24"/>
                <w:szCs w:val="24"/>
              </w:rPr>
              <w:t>分；较差：5</w:t>
            </w:r>
            <w:r>
              <w:rPr>
                <w:rFonts w:hint="default" w:ascii="宋体" w:hAnsi="宋体" w:eastAsia="宋体" w:cs="宋体"/>
                <w:sz w:val="24"/>
                <w:szCs w:val="24"/>
              </w:rPr>
              <w:t>-0</w:t>
            </w:r>
            <w:r>
              <w:rPr>
                <w:rFonts w:ascii="宋体" w:hAnsi="宋体" w:eastAsia="宋体" w:cs="宋体"/>
                <w:sz w:val="24"/>
                <w:szCs w:val="24"/>
              </w:rPr>
              <w:t>分。</w:t>
            </w:r>
          </w:p>
        </w:tc>
      </w:tr>
      <w:tr w14:paraId="2E7918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850" w:type="dxa"/>
            <w:tcMar>
              <w:top w:w="79" w:type="dxa"/>
              <w:left w:w="79" w:type="dxa"/>
              <w:bottom w:w="79" w:type="dxa"/>
              <w:right w:w="79" w:type="dxa"/>
            </w:tcMar>
            <w:vAlign w:val="center"/>
          </w:tcPr>
          <w:p w14:paraId="2C88C5E1">
            <w:pPr>
              <w:pStyle w:val="2"/>
              <w:spacing w:line="360" w:lineRule="auto"/>
              <w:ind w:firstLine="0"/>
              <w:jc w:val="center"/>
              <w:rPr>
                <w:rFonts w:hint="default" w:ascii="宋体" w:hAnsi="宋体" w:eastAsia="宋体"/>
                <w:sz w:val="24"/>
                <w:szCs w:val="24"/>
              </w:rPr>
            </w:pPr>
            <w:r>
              <w:rPr>
                <w:rFonts w:ascii="宋体" w:hAnsi="宋体" w:eastAsia="宋体"/>
                <w:sz w:val="24"/>
                <w:szCs w:val="24"/>
              </w:rPr>
              <w:t>3</w:t>
            </w:r>
          </w:p>
        </w:tc>
        <w:tc>
          <w:tcPr>
            <w:tcW w:w="2551" w:type="dxa"/>
            <w:tcMar>
              <w:top w:w="79" w:type="dxa"/>
              <w:left w:w="79" w:type="dxa"/>
              <w:bottom w:w="79" w:type="dxa"/>
              <w:right w:w="79" w:type="dxa"/>
            </w:tcMar>
            <w:vAlign w:val="center"/>
          </w:tcPr>
          <w:p w14:paraId="161C1CBC">
            <w:pPr>
              <w:pStyle w:val="2"/>
              <w:spacing w:line="360" w:lineRule="auto"/>
              <w:ind w:firstLine="0"/>
              <w:jc w:val="center"/>
              <w:rPr>
                <w:rFonts w:hint="default" w:ascii="宋体" w:hAnsi="宋体" w:eastAsia="宋体"/>
                <w:sz w:val="24"/>
                <w:szCs w:val="24"/>
              </w:rPr>
            </w:pPr>
            <w:r>
              <w:rPr>
                <w:rFonts w:ascii="宋体" w:hAnsi="宋体" w:eastAsia="宋体"/>
                <w:sz w:val="24"/>
                <w:szCs w:val="24"/>
              </w:rPr>
              <w:t>技术实施方案响应</w:t>
            </w:r>
          </w:p>
        </w:tc>
        <w:tc>
          <w:tcPr>
            <w:tcW w:w="1417" w:type="dxa"/>
            <w:tcMar>
              <w:top w:w="79" w:type="dxa"/>
              <w:left w:w="79" w:type="dxa"/>
              <w:bottom w:w="79" w:type="dxa"/>
              <w:right w:w="79" w:type="dxa"/>
            </w:tcMar>
            <w:vAlign w:val="center"/>
          </w:tcPr>
          <w:p w14:paraId="4F872386">
            <w:pPr>
              <w:pStyle w:val="2"/>
              <w:spacing w:line="360" w:lineRule="auto"/>
              <w:ind w:firstLine="0"/>
              <w:jc w:val="center"/>
              <w:rPr>
                <w:rFonts w:hint="default" w:ascii="宋体" w:hAnsi="宋体" w:eastAsia="宋体"/>
                <w:sz w:val="24"/>
                <w:szCs w:val="24"/>
              </w:rPr>
            </w:pPr>
            <w:r>
              <w:rPr>
                <w:rFonts w:ascii="宋体" w:hAnsi="宋体" w:eastAsia="宋体"/>
                <w:sz w:val="24"/>
                <w:szCs w:val="24"/>
              </w:rPr>
              <w:t>20</w:t>
            </w:r>
          </w:p>
        </w:tc>
        <w:tc>
          <w:tcPr>
            <w:tcW w:w="3685" w:type="dxa"/>
            <w:tcMar>
              <w:top w:w="79" w:type="dxa"/>
              <w:left w:w="79" w:type="dxa"/>
              <w:bottom w:w="79" w:type="dxa"/>
              <w:right w:w="79" w:type="dxa"/>
            </w:tcMar>
            <w:vAlign w:val="center"/>
          </w:tcPr>
          <w:p w14:paraId="20C6C9F0">
            <w:pPr>
              <w:rPr>
                <w:rFonts w:hint="default" w:ascii="宋体" w:hAnsi="宋体" w:eastAsia="宋体" w:cs="宋体"/>
                <w:sz w:val="24"/>
                <w:szCs w:val="24"/>
              </w:rPr>
            </w:pPr>
            <w:r>
              <w:rPr>
                <w:rFonts w:ascii="宋体" w:hAnsi="宋体" w:eastAsia="宋体" w:cs="宋体"/>
                <w:sz w:val="24"/>
                <w:szCs w:val="24"/>
              </w:rPr>
              <w:t>考察</w:t>
            </w:r>
            <w:r>
              <w:rPr>
                <w:rFonts w:ascii="宋体" w:hAnsi="宋体" w:eastAsia="宋体"/>
                <w:sz w:val="24"/>
                <w:szCs w:val="24"/>
              </w:rPr>
              <w:t>技术实施方案</w:t>
            </w:r>
            <w:r>
              <w:rPr>
                <w:rFonts w:ascii="宋体" w:hAnsi="宋体" w:eastAsia="宋体" w:cs="宋体"/>
                <w:sz w:val="24"/>
                <w:szCs w:val="24"/>
              </w:rPr>
              <w:t>（涵盖技术实施方案、运维服务方案、成功案例展示等）。</w:t>
            </w:r>
          </w:p>
          <w:p w14:paraId="053DB6EF">
            <w:pPr>
              <w:rPr>
                <w:rFonts w:hint="default" w:ascii="宋体" w:hAnsi="宋体" w:eastAsia="宋体" w:cs="宋体"/>
                <w:sz w:val="24"/>
                <w:szCs w:val="24"/>
              </w:rPr>
            </w:pPr>
            <w:r>
              <w:rPr>
                <w:rFonts w:ascii="宋体" w:hAnsi="宋体" w:eastAsia="宋体" w:cs="宋体"/>
                <w:sz w:val="24"/>
                <w:szCs w:val="24"/>
              </w:rPr>
              <w:t>对各供应商进行横向对比评分。</w:t>
            </w:r>
          </w:p>
          <w:p w14:paraId="0E6AB39C">
            <w:pPr>
              <w:rPr>
                <w:rFonts w:hint="default" w:ascii="宋体" w:hAnsi="宋体" w:eastAsia="宋体" w:cs="宋体"/>
                <w:sz w:val="24"/>
                <w:szCs w:val="24"/>
              </w:rPr>
            </w:pPr>
            <w:r>
              <w:rPr>
                <w:rFonts w:ascii="宋体" w:hAnsi="宋体" w:eastAsia="宋体" w:cs="宋体"/>
                <w:sz w:val="24"/>
                <w:szCs w:val="24"/>
              </w:rPr>
              <w:t>很好：20</w:t>
            </w:r>
            <w:r>
              <w:rPr>
                <w:rFonts w:hint="default" w:ascii="宋体" w:hAnsi="宋体" w:eastAsia="宋体" w:cs="宋体"/>
                <w:sz w:val="24"/>
                <w:szCs w:val="24"/>
              </w:rPr>
              <w:t>-16</w:t>
            </w:r>
            <w:r>
              <w:rPr>
                <w:rFonts w:ascii="宋体" w:hAnsi="宋体" w:eastAsia="宋体" w:cs="宋体"/>
                <w:sz w:val="24"/>
                <w:szCs w:val="24"/>
              </w:rPr>
              <w:t>分；较好：15</w:t>
            </w:r>
            <w:r>
              <w:rPr>
                <w:rFonts w:hint="default" w:ascii="宋体" w:hAnsi="宋体" w:eastAsia="宋体" w:cs="宋体"/>
                <w:sz w:val="24"/>
                <w:szCs w:val="24"/>
              </w:rPr>
              <w:t>-11</w:t>
            </w:r>
            <w:r>
              <w:rPr>
                <w:rFonts w:ascii="宋体" w:hAnsi="宋体" w:eastAsia="宋体" w:cs="宋体"/>
                <w:sz w:val="24"/>
                <w:szCs w:val="24"/>
              </w:rPr>
              <w:t>分；</w:t>
            </w:r>
            <w:r>
              <w:rPr>
                <w:rFonts w:hint="default" w:ascii="宋体" w:hAnsi="宋体" w:eastAsia="宋体" w:cs="宋体"/>
                <w:sz w:val="24"/>
                <w:szCs w:val="24"/>
              </w:rPr>
              <w:br w:type="textWrapping"/>
            </w:r>
            <w:r>
              <w:rPr>
                <w:rFonts w:ascii="宋体" w:hAnsi="宋体" w:eastAsia="宋体" w:cs="宋体"/>
                <w:sz w:val="24"/>
                <w:szCs w:val="24"/>
              </w:rPr>
              <w:t>一般：10</w:t>
            </w:r>
            <w:r>
              <w:rPr>
                <w:rFonts w:hint="default" w:ascii="宋体" w:hAnsi="宋体" w:eastAsia="宋体" w:cs="宋体"/>
                <w:sz w:val="24"/>
                <w:szCs w:val="24"/>
              </w:rPr>
              <w:t>-6</w:t>
            </w:r>
            <w:r>
              <w:rPr>
                <w:rFonts w:ascii="宋体" w:hAnsi="宋体" w:eastAsia="宋体" w:cs="宋体"/>
                <w:sz w:val="24"/>
                <w:szCs w:val="24"/>
              </w:rPr>
              <w:t>分；较差：5</w:t>
            </w:r>
            <w:r>
              <w:rPr>
                <w:rFonts w:hint="default" w:ascii="宋体" w:hAnsi="宋体" w:eastAsia="宋体" w:cs="宋体"/>
                <w:sz w:val="24"/>
                <w:szCs w:val="24"/>
              </w:rPr>
              <w:t>-0</w:t>
            </w:r>
            <w:r>
              <w:rPr>
                <w:rFonts w:ascii="宋体" w:hAnsi="宋体" w:eastAsia="宋体" w:cs="宋体"/>
                <w:sz w:val="24"/>
                <w:szCs w:val="24"/>
              </w:rPr>
              <w:t>分。</w:t>
            </w:r>
          </w:p>
        </w:tc>
      </w:tr>
      <w:tr w14:paraId="1A822F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850" w:type="dxa"/>
            <w:tcMar>
              <w:top w:w="79" w:type="dxa"/>
              <w:left w:w="79" w:type="dxa"/>
              <w:bottom w:w="79" w:type="dxa"/>
              <w:right w:w="79" w:type="dxa"/>
            </w:tcMar>
            <w:vAlign w:val="center"/>
          </w:tcPr>
          <w:p w14:paraId="3CF396B1">
            <w:pPr>
              <w:pStyle w:val="2"/>
              <w:spacing w:line="360" w:lineRule="auto"/>
              <w:ind w:firstLine="0"/>
              <w:jc w:val="center"/>
              <w:rPr>
                <w:rFonts w:hint="default" w:ascii="宋体" w:hAnsi="宋体" w:eastAsia="宋体"/>
                <w:sz w:val="24"/>
                <w:szCs w:val="24"/>
              </w:rPr>
            </w:pPr>
            <w:r>
              <w:rPr>
                <w:rFonts w:ascii="宋体" w:hAnsi="宋体" w:eastAsia="宋体"/>
                <w:sz w:val="24"/>
                <w:szCs w:val="24"/>
              </w:rPr>
              <w:t>4</w:t>
            </w:r>
          </w:p>
        </w:tc>
        <w:tc>
          <w:tcPr>
            <w:tcW w:w="2551" w:type="dxa"/>
            <w:tcMar>
              <w:top w:w="79" w:type="dxa"/>
              <w:left w:w="79" w:type="dxa"/>
              <w:bottom w:w="79" w:type="dxa"/>
              <w:right w:w="79" w:type="dxa"/>
            </w:tcMar>
            <w:vAlign w:val="center"/>
          </w:tcPr>
          <w:p w14:paraId="14D8AF7C">
            <w:pPr>
              <w:pStyle w:val="2"/>
              <w:spacing w:line="360" w:lineRule="auto"/>
              <w:ind w:firstLine="0"/>
              <w:jc w:val="center"/>
              <w:rPr>
                <w:rFonts w:hint="default" w:ascii="宋体" w:hAnsi="宋体" w:eastAsia="宋体"/>
                <w:sz w:val="24"/>
                <w:szCs w:val="24"/>
              </w:rPr>
            </w:pPr>
            <w:r>
              <w:rPr>
                <w:rFonts w:ascii="宋体" w:hAnsi="宋体" w:eastAsia="宋体" w:cs="宋体"/>
                <w:sz w:val="24"/>
                <w:szCs w:val="24"/>
              </w:rPr>
              <w:t>售后服务方案</w:t>
            </w:r>
            <w:r>
              <w:rPr>
                <w:rFonts w:ascii="宋体" w:hAnsi="宋体" w:eastAsia="宋体"/>
                <w:sz w:val="24"/>
                <w:szCs w:val="24"/>
              </w:rPr>
              <w:t>响应</w:t>
            </w:r>
          </w:p>
        </w:tc>
        <w:tc>
          <w:tcPr>
            <w:tcW w:w="1417" w:type="dxa"/>
            <w:tcMar>
              <w:top w:w="79" w:type="dxa"/>
              <w:left w:w="79" w:type="dxa"/>
              <w:bottom w:w="79" w:type="dxa"/>
              <w:right w:w="79" w:type="dxa"/>
            </w:tcMar>
            <w:vAlign w:val="center"/>
          </w:tcPr>
          <w:p w14:paraId="74392781">
            <w:pPr>
              <w:pStyle w:val="2"/>
              <w:spacing w:line="360" w:lineRule="auto"/>
              <w:ind w:firstLine="0"/>
              <w:jc w:val="center"/>
              <w:rPr>
                <w:rFonts w:hint="default" w:ascii="宋体" w:hAnsi="宋体" w:eastAsia="宋体"/>
                <w:sz w:val="24"/>
                <w:szCs w:val="24"/>
              </w:rPr>
            </w:pPr>
            <w:r>
              <w:rPr>
                <w:rFonts w:ascii="宋体" w:hAnsi="宋体" w:eastAsia="宋体"/>
                <w:sz w:val="24"/>
                <w:szCs w:val="24"/>
              </w:rPr>
              <w:t>2</w:t>
            </w:r>
            <w:r>
              <w:rPr>
                <w:rFonts w:hint="default" w:ascii="宋体" w:hAnsi="宋体" w:eastAsia="宋体"/>
                <w:sz w:val="24"/>
                <w:szCs w:val="24"/>
              </w:rPr>
              <w:t>0</w:t>
            </w:r>
          </w:p>
        </w:tc>
        <w:tc>
          <w:tcPr>
            <w:tcW w:w="3685" w:type="dxa"/>
            <w:tcMar>
              <w:top w:w="79" w:type="dxa"/>
              <w:left w:w="79" w:type="dxa"/>
              <w:bottom w:w="79" w:type="dxa"/>
              <w:right w:w="79" w:type="dxa"/>
            </w:tcMar>
            <w:vAlign w:val="center"/>
          </w:tcPr>
          <w:p w14:paraId="629C03B3">
            <w:pPr>
              <w:rPr>
                <w:rFonts w:hint="default" w:ascii="宋体" w:hAnsi="宋体" w:eastAsia="宋体" w:cs="宋体"/>
                <w:sz w:val="24"/>
                <w:szCs w:val="24"/>
              </w:rPr>
            </w:pPr>
            <w:r>
              <w:rPr>
                <w:rFonts w:ascii="宋体" w:hAnsi="宋体" w:eastAsia="宋体" w:cs="宋体"/>
                <w:sz w:val="24"/>
                <w:szCs w:val="24"/>
              </w:rPr>
              <w:t>考察售后服务方案（涵盖售后</w:t>
            </w:r>
            <w:r>
              <w:rPr>
                <w:rFonts w:hint="default" w:ascii="宋体" w:hAnsi="宋体" w:eastAsia="宋体" w:cs="宋体"/>
                <w:sz w:val="24"/>
                <w:szCs w:val="24"/>
              </w:rPr>
              <w:t>技术支持服务</w:t>
            </w:r>
            <w:r>
              <w:rPr>
                <w:rFonts w:ascii="宋体" w:hAnsi="宋体" w:eastAsia="宋体" w:cs="宋体"/>
                <w:sz w:val="24"/>
                <w:szCs w:val="24"/>
              </w:rPr>
              <w:t>、平台功能维护服务、</w:t>
            </w:r>
            <w:r>
              <w:rPr>
                <w:rFonts w:hint="default" w:ascii="宋体" w:hAnsi="宋体" w:eastAsia="宋体" w:cs="宋体"/>
                <w:sz w:val="24"/>
                <w:szCs w:val="24"/>
              </w:rPr>
              <w:t>资料与培训服务</w:t>
            </w:r>
            <w:r>
              <w:rPr>
                <w:rFonts w:ascii="宋体" w:hAnsi="宋体" w:eastAsia="宋体" w:cs="宋体"/>
                <w:sz w:val="24"/>
                <w:szCs w:val="24"/>
              </w:rPr>
              <w:t>、</w:t>
            </w:r>
            <w:r>
              <w:rPr>
                <w:rFonts w:hint="default" w:ascii="宋体" w:hAnsi="宋体" w:eastAsia="宋体" w:cs="宋体"/>
                <w:sz w:val="24"/>
                <w:szCs w:val="24"/>
              </w:rPr>
              <w:t>质保期限</w:t>
            </w:r>
            <w:r>
              <w:rPr>
                <w:rFonts w:ascii="宋体" w:hAnsi="宋体" w:eastAsia="宋体" w:cs="宋体"/>
                <w:sz w:val="24"/>
                <w:szCs w:val="24"/>
              </w:rPr>
              <w:t>等）。</w:t>
            </w:r>
          </w:p>
          <w:p w14:paraId="1646C31F">
            <w:pPr>
              <w:rPr>
                <w:rFonts w:hint="default" w:ascii="宋体" w:hAnsi="宋体" w:eastAsia="宋体" w:cs="宋体"/>
                <w:sz w:val="24"/>
                <w:szCs w:val="24"/>
              </w:rPr>
            </w:pPr>
            <w:r>
              <w:rPr>
                <w:rFonts w:ascii="宋体" w:hAnsi="宋体" w:eastAsia="宋体" w:cs="宋体"/>
                <w:sz w:val="24"/>
                <w:szCs w:val="24"/>
              </w:rPr>
              <w:t>对各供应商进行横向对比评分。</w:t>
            </w:r>
          </w:p>
          <w:p w14:paraId="0E5F140E">
            <w:pPr>
              <w:rPr>
                <w:rFonts w:hint="default" w:ascii="宋体" w:hAnsi="宋体" w:eastAsia="宋体" w:cs="宋体"/>
                <w:sz w:val="24"/>
                <w:szCs w:val="24"/>
              </w:rPr>
            </w:pPr>
            <w:r>
              <w:rPr>
                <w:rFonts w:ascii="宋体" w:hAnsi="宋体" w:eastAsia="宋体" w:cs="宋体"/>
                <w:sz w:val="24"/>
                <w:szCs w:val="24"/>
              </w:rPr>
              <w:t>很好：20</w:t>
            </w:r>
            <w:r>
              <w:rPr>
                <w:rFonts w:hint="default" w:ascii="宋体" w:hAnsi="宋体" w:eastAsia="宋体" w:cs="宋体"/>
                <w:sz w:val="24"/>
                <w:szCs w:val="24"/>
              </w:rPr>
              <w:t>-16</w:t>
            </w:r>
            <w:r>
              <w:rPr>
                <w:rFonts w:ascii="宋体" w:hAnsi="宋体" w:eastAsia="宋体" w:cs="宋体"/>
                <w:sz w:val="24"/>
                <w:szCs w:val="24"/>
              </w:rPr>
              <w:t>分；较好：15</w:t>
            </w:r>
            <w:r>
              <w:rPr>
                <w:rFonts w:hint="default" w:ascii="宋体" w:hAnsi="宋体" w:eastAsia="宋体" w:cs="宋体"/>
                <w:sz w:val="24"/>
                <w:szCs w:val="24"/>
              </w:rPr>
              <w:t>-11</w:t>
            </w:r>
            <w:r>
              <w:rPr>
                <w:rFonts w:ascii="宋体" w:hAnsi="宋体" w:eastAsia="宋体" w:cs="宋体"/>
                <w:sz w:val="24"/>
                <w:szCs w:val="24"/>
              </w:rPr>
              <w:t>分；</w:t>
            </w:r>
            <w:r>
              <w:rPr>
                <w:rFonts w:hint="default" w:ascii="宋体" w:hAnsi="宋体" w:eastAsia="宋体" w:cs="宋体"/>
                <w:sz w:val="24"/>
                <w:szCs w:val="24"/>
              </w:rPr>
              <w:br w:type="textWrapping"/>
            </w:r>
            <w:r>
              <w:rPr>
                <w:rFonts w:ascii="宋体" w:hAnsi="宋体" w:eastAsia="宋体" w:cs="宋体"/>
                <w:sz w:val="24"/>
                <w:szCs w:val="24"/>
              </w:rPr>
              <w:t>一般：10</w:t>
            </w:r>
            <w:r>
              <w:rPr>
                <w:rFonts w:hint="default" w:ascii="宋体" w:hAnsi="宋体" w:eastAsia="宋体" w:cs="宋体"/>
                <w:sz w:val="24"/>
                <w:szCs w:val="24"/>
              </w:rPr>
              <w:t>-6</w:t>
            </w:r>
            <w:r>
              <w:rPr>
                <w:rFonts w:ascii="宋体" w:hAnsi="宋体" w:eastAsia="宋体" w:cs="宋体"/>
                <w:sz w:val="24"/>
                <w:szCs w:val="24"/>
              </w:rPr>
              <w:t>分；较差：5</w:t>
            </w:r>
            <w:r>
              <w:rPr>
                <w:rFonts w:hint="default" w:ascii="宋体" w:hAnsi="宋体" w:eastAsia="宋体" w:cs="宋体"/>
                <w:sz w:val="24"/>
                <w:szCs w:val="24"/>
              </w:rPr>
              <w:t>-0</w:t>
            </w:r>
            <w:r>
              <w:rPr>
                <w:rFonts w:ascii="宋体" w:hAnsi="宋体" w:eastAsia="宋体" w:cs="宋体"/>
                <w:sz w:val="24"/>
                <w:szCs w:val="24"/>
              </w:rPr>
              <w:t>分。</w:t>
            </w:r>
          </w:p>
        </w:tc>
      </w:tr>
      <w:tr w14:paraId="50D3D5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850" w:type="dxa"/>
            <w:tcMar>
              <w:top w:w="79" w:type="dxa"/>
              <w:left w:w="79" w:type="dxa"/>
              <w:bottom w:w="79" w:type="dxa"/>
              <w:right w:w="79" w:type="dxa"/>
            </w:tcMar>
            <w:vAlign w:val="center"/>
          </w:tcPr>
          <w:p w14:paraId="3EBBEFAC">
            <w:pPr>
              <w:pStyle w:val="2"/>
              <w:spacing w:line="360" w:lineRule="auto"/>
              <w:ind w:firstLine="0"/>
              <w:jc w:val="center"/>
              <w:rPr>
                <w:rFonts w:hint="default" w:ascii="宋体" w:hAnsi="宋体" w:eastAsia="宋体"/>
                <w:sz w:val="24"/>
                <w:szCs w:val="24"/>
              </w:rPr>
            </w:pPr>
            <w:r>
              <w:rPr>
                <w:rFonts w:ascii="宋体" w:hAnsi="宋体" w:eastAsia="宋体"/>
                <w:sz w:val="24"/>
                <w:szCs w:val="24"/>
              </w:rPr>
              <w:t>5</w:t>
            </w:r>
          </w:p>
        </w:tc>
        <w:tc>
          <w:tcPr>
            <w:tcW w:w="2551" w:type="dxa"/>
            <w:tcMar>
              <w:top w:w="79" w:type="dxa"/>
              <w:left w:w="79" w:type="dxa"/>
              <w:bottom w:w="79" w:type="dxa"/>
              <w:right w:w="79" w:type="dxa"/>
            </w:tcMar>
            <w:vAlign w:val="center"/>
          </w:tcPr>
          <w:p w14:paraId="4AE66DB4">
            <w:pPr>
              <w:pStyle w:val="2"/>
              <w:spacing w:line="360" w:lineRule="auto"/>
              <w:ind w:firstLine="0"/>
              <w:jc w:val="center"/>
              <w:rPr>
                <w:rFonts w:hint="default" w:ascii="宋体" w:hAnsi="宋体" w:eastAsia="宋体"/>
                <w:sz w:val="24"/>
                <w:szCs w:val="24"/>
              </w:rPr>
            </w:pPr>
            <w:r>
              <w:rPr>
                <w:rFonts w:ascii="宋体" w:hAnsi="宋体" w:eastAsia="宋体"/>
                <w:sz w:val="24"/>
                <w:szCs w:val="24"/>
              </w:rPr>
              <w:t>项目经验</w:t>
            </w:r>
          </w:p>
        </w:tc>
        <w:tc>
          <w:tcPr>
            <w:tcW w:w="1417" w:type="dxa"/>
            <w:tcMar>
              <w:top w:w="79" w:type="dxa"/>
              <w:left w:w="79" w:type="dxa"/>
              <w:bottom w:w="79" w:type="dxa"/>
              <w:right w:w="79" w:type="dxa"/>
            </w:tcMar>
            <w:vAlign w:val="center"/>
          </w:tcPr>
          <w:p w14:paraId="050B7287">
            <w:pPr>
              <w:pStyle w:val="2"/>
              <w:spacing w:line="360" w:lineRule="auto"/>
              <w:ind w:firstLine="0"/>
              <w:jc w:val="center"/>
              <w:rPr>
                <w:rFonts w:hint="default" w:ascii="宋体" w:hAnsi="宋体" w:eastAsia="宋体"/>
                <w:sz w:val="24"/>
                <w:szCs w:val="24"/>
              </w:rPr>
            </w:pPr>
            <w:r>
              <w:rPr>
                <w:rFonts w:ascii="宋体" w:hAnsi="宋体" w:eastAsia="宋体"/>
                <w:sz w:val="24"/>
                <w:szCs w:val="24"/>
              </w:rPr>
              <w:t>2</w:t>
            </w:r>
            <w:r>
              <w:rPr>
                <w:rFonts w:hint="default" w:ascii="宋体" w:hAnsi="宋体" w:eastAsia="宋体"/>
                <w:sz w:val="24"/>
                <w:szCs w:val="24"/>
              </w:rPr>
              <w:t>0</w:t>
            </w:r>
          </w:p>
        </w:tc>
        <w:tc>
          <w:tcPr>
            <w:tcW w:w="3685" w:type="dxa"/>
            <w:tcMar>
              <w:top w:w="79" w:type="dxa"/>
              <w:left w:w="79" w:type="dxa"/>
              <w:bottom w:w="79" w:type="dxa"/>
              <w:right w:w="79" w:type="dxa"/>
            </w:tcMar>
            <w:vAlign w:val="center"/>
          </w:tcPr>
          <w:p w14:paraId="23355A3F">
            <w:pPr>
              <w:rPr>
                <w:rFonts w:hint="default" w:ascii="宋体" w:hAnsi="宋体" w:eastAsia="宋体" w:cs="宋体"/>
                <w:sz w:val="24"/>
                <w:szCs w:val="24"/>
              </w:rPr>
            </w:pPr>
            <w:r>
              <w:rPr>
                <w:rFonts w:ascii="宋体" w:hAnsi="宋体" w:eastAsia="宋体" w:cs="宋体"/>
                <w:sz w:val="24"/>
                <w:szCs w:val="24"/>
              </w:rPr>
              <w:t>供应商</w:t>
            </w:r>
            <w:r>
              <w:rPr>
                <w:rFonts w:hint="default" w:ascii="宋体" w:hAnsi="宋体" w:eastAsia="宋体" w:cs="宋体"/>
                <w:sz w:val="24"/>
                <w:szCs w:val="24"/>
              </w:rPr>
              <w:t>提供</w:t>
            </w:r>
            <w:r>
              <w:rPr>
                <w:rFonts w:ascii="宋体" w:hAnsi="宋体" w:eastAsia="宋体" w:cs="宋体"/>
                <w:sz w:val="24"/>
                <w:szCs w:val="24"/>
              </w:rPr>
              <w:t>2021年1月1日起至今</w:t>
            </w:r>
            <w:r>
              <w:rPr>
                <w:rFonts w:hint="default" w:ascii="宋体" w:hAnsi="宋体" w:eastAsia="宋体" w:cs="宋体"/>
                <w:sz w:val="24"/>
                <w:szCs w:val="24"/>
              </w:rPr>
              <w:t>相关类似案例业绩的每提供一项得</w:t>
            </w:r>
            <w:r>
              <w:rPr>
                <w:rFonts w:ascii="宋体" w:hAnsi="宋体" w:eastAsia="宋体" w:cs="宋体"/>
                <w:sz w:val="24"/>
                <w:szCs w:val="24"/>
              </w:rPr>
              <w:t>4</w:t>
            </w:r>
            <w:r>
              <w:rPr>
                <w:rFonts w:hint="default" w:ascii="宋体" w:hAnsi="宋体" w:eastAsia="宋体" w:cs="宋体"/>
                <w:sz w:val="24"/>
                <w:szCs w:val="24"/>
              </w:rPr>
              <w:t>分，最高得</w:t>
            </w:r>
            <w:r>
              <w:rPr>
                <w:rFonts w:ascii="宋体" w:hAnsi="宋体" w:eastAsia="宋体" w:cs="宋体"/>
                <w:sz w:val="24"/>
                <w:szCs w:val="24"/>
              </w:rPr>
              <w:t>20</w:t>
            </w:r>
            <w:r>
              <w:rPr>
                <w:rFonts w:hint="default" w:ascii="宋体" w:hAnsi="宋体" w:eastAsia="宋体" w:cs="宋体"/>
                <w:sz w:val="24"/>
                <w:szCs w:val="24"/>
              </w:rPr>
              <w:t>分。备注:以上业绩须提供合同首页、内容页、双方签章页复印件方为有效业绩，否则视为无效不得分。提供无关业绩也不得分。</w:t>
            </w:r>
          </w:p>
        </w:tc>
      </w:tr>
    </w:tbl>
    <w:p w14:paraId="314F24A3">
      <w:pPr>
        <w:spacing w:line="360" w:lineRule="auto"/>
        <w:ind w:firstLine="480" w:firstLineChars="200"/>
        <w:rPr>
          <w:rFonts w:hint="default" w:ascii="宋体" w:hAnsi="宋体" w:eastAsia="宋体"/>
          <w:sz w:val="24"/>
          <w:szCs w:val="24"/>
        </w:rPr>
      </w:pPr>
    </w:p>
    <w:p w14:paraId="470B57D2">
      <w:pPr>
        <w:spacing w:line="360" w:lineRule="auto"/>
        <w:ind w:firstLine="480" w:firstLineChars="200"/>
        <w:rPr>
          <w:rFonts w:hint="default" w:ascii="宋体" w:hAnsi="宋体" w:eastAsia="宋体"/>
          <w:sz w:val="24"/>
          <w:szCs w:val="24"/>
        </w:rPr>
      </w:pP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Unicode MS">
    <w:altName w:val="Arial"/>
    <w:panose1 w:val="020B0604020202020204"/>
    <w:charset w:val="80"/>
    <w:family w:val="swiss"/>
    <w:pitch w:val="default"/>
    <w:sig w:usb0="00000000" w:usb1="00000000" w:usb2="0000003F" w:usb3="00000000" w:csb0="003F01FF" w:csb1="00000000"/>
  </w:font>
  <w:font w:name="仿宋_GB2312">
    <w:altName w:val="仿宋"/>
    <w:panose1 w:val="020B0604020202020204"/>
    <w:charset w:val="86"/>
    <w:family w:val="modern"/>
    <w:pitch w:val="default"/>
    <w:sig w:usb0="00000000" w:usb1="00000000" w:usb2="00000010" w:usb3="00000000" w:csb0="00040001" w:csb1="00000000"/>
  </w:font>
  <w:font w:name="微软雅黑">
    <w:panose1 w:val="020B0503020204020204"/>
    <w:charset w:val="86"/>
    <w:family w:val="swiss"/>
    <w:pitch w:val="default"/>
    <w:sig w:usb0="80000287" w:usb1="2ACF3C50" w:usb2="00000016" w:usb3="00000000" w:csb0="0004001F" w:csb1="00000000"/>
  </w:font>
  <w:font w:name="Courier New">
    <w:panose1 w:val="02070309020205020404"/>
    <w:charset w:val="00"/>
    <w:family w:val="modern"/>
    <w:pitch w:val="default"/>
    <w:sig w:usb0="E0002EFF" w:usb1="C0007843" w:usb2="00000009" w:usb3="00000000" w:csb0="4000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E0BEDC">
    <w:pPr>
      <w:pStyle w:val="11"/>
      <w:jc w:val="center"/>
    </w:pPr>
    <w:r>
      <w:fldChar w:fldCharType="begin"/>
    </w:r>
    <w:r>
      <w:instrText xml:space="preserve"> PAGE </w:instrText>
    </w:r>
    <w:r>
      <w:fldChar w:fldCharType="separate"/>
    </w:r>
    <w:r>
      <w:t>8</w:t>
    </w:r>
    <w:r>
      <w:fldChar w:fldCharType="end"/>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3FB0BFA"/>
    <w:multiLevelType w:val="multilevel"/>
    <w:tmpl w:val="23FB0BFA"/>
    <w:lvl w:ilvl="0" w:tentative="0">
      <w:start w:val="1"/>
      <w:numFmt w:val="decimal"/>
      <w:pStyle w:val="4"/>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zdhMzliZWUxNTgzNGEzMWZhZjIyMTc0NWJmMmRlYjUifQ=="/>
  </w:docVars>
  <w:rsids>
    <w:rsidRoot w:val="00694616"/>
    <w:rsid w:val="00016B50"/>
    <w:rsid w:val="00026477"/>
    <w:rsid w:val="00043B21"/>
    <w:rsid w:val="00052C14"/>
    <w:rsid w:val="00064189"/>
    <w:rsid w:val="00075C2D"/>
    <w:rsid w:val="00084466"/>
    <w:rsid w:val="0009051D"/>
    <w:rsid w:val="00093409"/>
    <w:rsid w:val="000A1738"/>
    <w:rsid w:val="000A1998"/>
    <w:rsid w:val="000A7DDA"/>
    <w:rsid w:val="001453AE"/>
    <w:rsid w:val="00172875"/>
    <w:rsid w:val="0017584A"/>
    <w:rsid w:val="00177C29"/>
    <w:rsid w:val="0019352B"/>
    <w:rsid w:val="001C4258"/>
    <w:rsid w:val="001D39A7"/>
    <w:rsid w:val="001D3AA2"/>
    <w:rsid w:val="001E56C2"/>
    <w:rsid w:val="001E5B05"/>
    <w:rsid w:val="002031CF"/>
    <w:rsid w:val="002036A5"/>
    <w:rsid w:val="00207ADD"/>
    <w:rsid w:val="00210E2E"/>
    <w:rsid w:val="00211B1E"/>
    <w:rsid w:val="002124FF"/>
    <w:rsid w:val="00214D60"/>
    <w:rsid w:val="002300B1"/>
    <w:rsid w:val="002363DC"/>
    <w:rsid w:val="0024162E"/>
    <w:rsid w:val="00251527"/>
    <w:rsid w:val="00256894"/>
    <w:rsid w:val="002601F9"/>
    <w:rsid w:val="002615D8"/>
    <w:rsid w:val="00264753"/>
    <w:rsid w:val="002735B1"/>
    <w:rsid w:val="00274710"/>
    <w:rsid w:val="0029052D"/>
    <w:rsid w:val="00290A40"/>
    <w:rsid w:val="00295787"/>
    <w:rsid w:val="002B2111"/>
    <w:rsid w:val="002B26FD"/>
    <w:rsid w:val="002B27DF"/>
    <w:rsid w:val="002B29E3"/>
    <w:rsid w:val="002C5158"/>
    <w:rsid w:val="002D0CB9"/>
    <w:rsid w:val="002E3A07"/>
    <w:rsid w:val="002F6DCE"/>
    <w:rsid w:val="0031532F"/>
    <w:rsid w:val="00320C2A"/>
    <w:rsid w:val="00322869"/>
    <w:rsid w:val="00323AF5"/>
    <w:rsid w:val="00331A14"/>
    <w:rsid w:val="0033218B"/>
    <w:rsid w:val="0033495D"/>
    <w:rsid w:val="003371D5"/>
    <w:rsid w:val="00343C6A"/>
    <w:rsid w:val="003953D0"/>
    <w:rsid w:val="003C0692"/>
    <w:rsid w:val="003E47CF"/>
    <w:rsid w:val="00404C75"/>
    <w:rsid w:val="00422557"/>
    <w:rsid w:val="00424A3B"/>
    <w:rsid w:val="00445505"/>
    <w:rsid w:val="0044663A"/>
    <w:rsid w:val="0047409B"/>
    <w:rsid w:val="00487528"/>
    <w:rsid w:val="004A51ED"/>
    <w:rsid w:val="004A7B02"/>
    <w:rsid w:val="004B303D"/>
    <w:rsid w:val="004C2F9C"/>
    <w:rsid w:val="004C7099"/>
    <w:rsid w:val="004D011B"/>
    <w:rsid w:val="004D4371"/>
    <w:rsid w:val="004D79A6"/>
    <w:rsid w:val="004F27F0"/>
    <w:rsid w:val="0050549B"/>
    <w:rsid w:val="005150AC"/>
    <w:rsid w:val="005176C5"/>
    <w:rsid w:val="00530C00"/>
    <w:rsid w:val="00531625"/>
    <w:rsid w:val="005345A0"/>
    <w:rsid w:val="005956DC"/>
    <w:rsid w:val="00595F03"/>
    <w:rsid w:val="005A0C48"/>
    <w:rsid w:val="005A4FEF"/>
    <w:rsid w:val="005B078E"/>
    <w:rsid w:val="005B491B"/>
    <w:rsid w:val="005C74ED"/>
    <w:rsid w:val="005D076C"/>
    <w:rsid w:val="005E064C"/>
    <w:rsid w:val="005E50CA"/>
    <w:rsid w:val="005F4EB0"/>
    <w:rsid w:val="005F5294"/>
    <w:rsid w:val="00603A4C"/>
    <w:rsid w:val="006160EA"/>
    <w:rsid w:val="00623998"/>
    <w:rsid w:val="00637297"/>
    <w:rsid w:val="00640D18"/>
    <w:rsid w:val="006440EE"/>
    <w:rsid w:val="00644957"/>
    <w:rsid w:val="00655466"/>
    <w:rsid w:val="00666A46"/>
    <w:rsid w:val="00666CE5"/>
    <w:rsid w:val="00667AD2"/>
    <w:rsid w:val="00670F94"/>
    <w:rsid w:val="0067144B"/>
    <w:rsid w:val="006736CF"/>
    <w:rsid w:val="00675C7B"/>
    <w:rsid w:val="00675EFF"/>
    <w:rsid w:val="00677D6C"/>
    <w:rsid w:val="00691341"/>
    <w:rsid w:val="00694616"/>
    <w:rsid w:val="00695346"/>
    <w:rsid w:val="00697905"/>
    <w:rsid w:val="006A5FF4"/>
    <w:rsid w:val="006B2A77"/>
    <w:rsid w:val="006B5ED6"/>
    <w:rsid w:val="006C022F"/>
    <w:rsid w:val="006C726E"/>
    <w:rsid w:val="006D36AE"/>
    <w:rsid w:val="006E7D73"/>
    <w:rsid w:val="007030AC"/>
    <w:rsid w:val="0071493F"/>
    <w:rsid w:val="00722E53"/>
    <w:rsid w:val="00725FCC"/>
    <w:rsid w:val="00732444"/>
    <w:rsid w:val="00743A5B"/>
    <w:rsid w:val="007453BC"/>
    <w:rsid w:val="00764F8E"/>
    <w:rsid w:val="00764FA5"/>
    <w:rsid w:val="00770C73"/>
    <w:rsid w:val="00770FE8"/>
    <w:rsid w:val="007728F3"/>
    <w:rsid w:val="00775992"/>
    <w:rsid w:val="007A42AB"/>
    <w:rsid w:val="007B65FA"/>
    <w:rsid w:val="007C1F20"/>
    <w:rsid w:val="007C3B73"/>
    <w:rsid w:val="007E64ED"/>
    <w:rsid w:val="007E72DC"/>
    <w:rsid w:val="007E78E3"/>
    <w:rsid w:val="007F09EE"/>
    <w:rsid w:val="007F1033"/>
    <w:rsid w:val="007F1F8B"/>
    <w:rsid w:val="007F2EF5"/>
    <w:rsid w:val="008214F3"/>
    <w:rsid w:val="00836B3E"/>
    <w:rsid w:val="00850501"/>
    <w:rsid w:val="00852689"/>
    <w:rsid w:val="0085497B"/>
    <w:rsid w:val="008609E2"/>
    <w:rsid w:val="0086115F"/>
    <w:rsid w:val="008650D5"/>
    <w:rsid w:val="008710DB"/>
    <w:rsid w:val="00873886"/>
    <w:rsid w:val="008748B2"/>
    <w:rsid w:val="00876014"/>
    <w:rsid w:val="00881573"/>
    <w:rsid w:val="00885A90"/>
    <w:rsid w:val="008A5F34"/>
    <w:rsid w:val="008C2E2A"/>
    <w:rsid w:val="008E29A7"/>
    <w:rsid w:val="008F024F"/>
    <w:rsid w:val="008F1C83"/>
    <w:rsid w:val="008F6F4E"/>
    <w:rsid w:val="008F77D2"/>
    <w:rsid w:val="00911446"/>
    <w:rsid w:val="0093184E"/>
    <w:rsid w:val="00944673"/>
    <w:rsid w:val="00951F8B"/>
    <w:rsid w:val="0095435D"/>
    <w:rsid w:val="00960867"/>
    <w:rsid w:val="00963AE2"/>
    <w:rsid w:val="00966BD9"/>
    <w:rsid w:val="00967CF8"/>
    <w:rsid w:val="00973D0E"/>
    <w:rsid w:val="00974141"/>
    <w:rsid w:val="00983723"/>
    <w:rsid w:val="00994B26"/>
    <w:rsid w:val="0099608C"/>
    <w:rsid w:val="009A5D91"/>
    <w:rsid w:val="009B1AD4"/>
    <w:rsid w:val="009B6D86"/>
    <w:rsid w:val="009C1ABE"/>
    <w:rsid w:val="009F3319"/>
    <w:rsid w:val="009F419A"/>
    <w:rsid w:val="00A201E1"/>
    <w:rsid w:val="00A226DB"/>
    <w:rsid w:val="00A56372"/>
    <w:rsid w:val="00A66249"/>
    <w:rsid w:val="00A72BD6"/>
    <w:rsid w:val="00A77B54"/>
    <w:rsid w:val="00A86EC6"/>
    <w:rsid w:val="00AB20C5"/>
    <w:rsid w:val="00AC46AB"/>
    <w:rsid w:val="00AD2D9A"/>
    <w:rsid w:val="00AD760B"/>
    <w:rsid w:val="00AF614B"/>
    <w:rsid w:val="00B232BA"/>
    <w:rsid w:val="00B3127E"/>
    <w:rsid w:val="00B3210F"/>
    <w:rsid w:val="00B33DB0"/>
    <w:rsid w:val="00B42639"/>
    <w:rsid w:val="00B57957"/>
    <w:rsid w:val="00B60D08"/>
    <w:rsid w:val="00B757B9"/>
    <w:rsid w:val="00B761E5"/>
    <w:rsid w:val="00B90884"/>
    <w:rsid w:val="00BB2449"/>
    <w:rsid w:val="00BC5E9B"/>
    <w:rsid w:val="00BD49C9"/>
    <w:rsid w:val="00BD769D"/>
    <w:rsid w:val="00BD7818"/>
    <w:rsid w:val="00BE1432"/>
    <w:rsid w:val="00BF0C97"/>
    <w:rsid w:val="00BF19FF"/>
    <w:rsid w:val="00C016E1"/>
    <w:rsid w:val="00C115D2"/>
    <w:rsid w:val="00C12F6B"/>
    <w:rsid w:val="00C21512"/>
    <w:rsid w:val="00C21B28"/>
    <w:rsid w:val="00C27B5E"/>
    <w:rsid w:val="00C4095F"/>
    <w:rsid w:val="00C4219F"/>
    <w:rsid w:val="00C4582E"/>
    <w:rsid w:val="00C5581C"/>
    <w:rsid w:val="00C574E5"/>
    <w:rsid w:val="00C60663"/>
    <w:rsid w:val="00C60C84"/>
    <w:rsid w:val="00C67EAD"/>
    <w:rsid w:val="00C75A65"/>
    <w:rsid w:val="00C96B19"/>
    <w:rsid w:val="00CA0C18"/>
    <w:rsid w:val="00CA597B"/>
    <w:rsid w:val="00CB708C"/>
    <w:rsid w:val="00CC4E60"/>
    <w:rsid w:val="00CE1057"/>
    <w:rsid w:val="00CE4532"/>
    <w:rsid w:val="00CE5FFD"/>
    <w:rsid w:val="00CF11FB"/>
    <w:rsid w:val="00D061CB"/>
    <w:rsid w:val="00D161D9"/>
    <w:rsid w:val="00D25334"/>
    <w:rsid w:val="00D34DB1"/>
    <w:rsid w:val="00D3550F"/>
    <w:rsid w:val="00D37CC3"/>
    <w:rsid w:val="00D41FF8"/>
    <w:rsid w:val="00D437CD"/>
    <w:rsid w:val="00D5541E"/>
    <w:rsid w:val="00D55A61"/>
    <w:rsid w:val="00D63B96"/>
    <w:rsid w:val="00D65CA9"/>
    <w:rsid w:val="00D758A8"/>
    <w:rsid w:val="00D83EF5"/>
    <w:rsid w:val="00DA1464"/>
    <w:rsid w:val="00DB4FEF"/>
    <w:rsid w:val="00DC16FC"/>
    <w:rsid w:val="00DD36CD"/>
    <w:rsid w:val="00DD6F1D"/>
    <w:rsid w:val="00DE46CA"/>
    <w:rsid w:val="00DF205B"/>
    <w:rsid w:val="00DF228F"/>
    <w:rsid w:val="00E000CD"/>
    <w:rsid w:val="00E2359D"/>
    <w:rsid w:val="00E2372D"/>
    <w:rsid w:val="00E32BB6"/>
    <w:rsid w:val="00E44F72"/>
    <w:rsid w:val="00E467F5"/>
    <w:rsid w:val="00E5306F"/>
    <w:rsid w:val="00E74528"/>
    <w:rsid w:val="00E87E63"/>
    <w:rsid w:val="00E94057"/>
    <w:rsid w:val="00E97069"/>
    <w:rsid w:val="00EB1145"/>
    <w:rsid w:val="00EC510D"/>
    <w:rsid w:val="00EC63EC"/>
    <w:rsid w:val="00EE52AA"/>
    <w:rsid w:val="00EE57AA"/>
    <w:rsid w:val="00F043E9"/>
    <w:rsid w:val="00F10A87"/>
    <w:rsid w:val="00F122EC"/>
    <w:rsid w:val="00F322F2"/>
    <w:rsid w:val="00F34A52"/>
    <w:rsid w:val="00F47F64"/>
    <w:rsid w:val="00F56F63"/>
    <w:rsid w:val="00F62088"/>
    <w:rsid w:val="00F63D81"/>
    <w:rsid w:val="00F64919"/>
    <w:rsid w:val="00F71FEB"/>
    <w:rsid w:val="00F81197"/>
    <w:rsid w:val="00FA0F97"/>
    <w:rsid w:val="00FA6196"/>
    <w:rsid w:val="00FB1B47"/>
    <w:rsid w:val="00FB2BA7"/>
    <w:rsid w:val="00FC1852"/>
    <w:rsid w:val="00FD246C"/>
    <w:rsid w:val="00FD710A"/>
    <w:rsid w:val="00FF7930"/>
    <w:rsid w:val="02F0175E"/>
    <w:rsid w:val="05880374"/>
    <w:rsid w:val="065B15E4"/>
    <w:rsid w:val="083245C7"/>
    <w:rsid w:val="09DF42DA"/>
    <w:rsid w:val="0E2A585E"/>
    <w:rsid w:val="0F8E6586"/>
    <w:rsid w:val="1034712E"/>
    <w:rsid w:val="12BF6A40"/>
    <w:rsid w:val="142D0BA4"/>
    <w:rsid w:val="14553B17"/>
    <w:rsid w:val="18095344"/>
    <w:rsid w:val="19414DBA"/>
    <w:rsid w:val="1B8B42C2"/>
    <w:rsid w:val="1D9B6A3E"/>
    <w:rsid w:val="1D9D1F43"/>
    <w:rsid w:val="1EFB7D4B"/>
    <w:rsid w:val="207D1926"/>
    <w:rsid w:val="24575689"/>
    <w:rsid w:val="28E03E9F"/>
    <w:rsid w:val="2902261B"/>
    <w:rsid w:val="29714AF7"/>
    <w:rsid w:val="2A841F18"/>
    <w:rsid w:val="2D1759B5"/>
    <w:rsid w:val="2EEC5948"/>
    <w:rsid w:val="2F8A246F"/>
    <w:rsid w:val="42BF647C"/>
    <w:rsid w:val="466E6AA9"/>
    <w:rsid w:val="4989333F"/>
    <w:rsid w:val="4B320132"/>
    <w:rsid w:val="4EDA4123"/>
    <w:rsid w:val="509E1DC6"/>
    <w:rsid w:val="50C57353"/>
    <w:rsid w:val="55456CB4"/>
    <w:rsid w:val="5A252C10"/>
    <w:rsid w:val="5AEB60A3"/>
    <w:rsid w:val="5D8270C0"/>
    <w:rsid w:val="5F9B5E70"/>
    <w:rsid w:val="65FA13F5"/>
    <w:rsid w:val="66FB2E31"/>
    <w:rsid w:val="69012A9A"/>
    <w:rsid w:val="6C0528A2"/>
    <w:rsid w:val="6DC74D89"/>
    <w:rsid w:val="721E46BD"/>
    <w:rsid w:val="76C75AEF"/>
    <w:rsid w:val="78635B64"/>
    <w:rsid w:val="791505C8"/>
    <w:rsid w:val="7A7C053D"/>
    <w:rsid w:val="7B14665D"/>
    <w:rsid w:val="7C9E08D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nhideWhenUsed="0"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iPriority="99" w:name="Body Text"/>
    <w:lsdException w:qFormat="1"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qFormat="1" w:unhideWhenUsed="0" w:uiPriority="0" w:semiHidden="0"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hint="eastAsia" w:ascii="Arial Unicode MS" w:hAnsi="Arial Unicode MS" w:eastAsia="Arial Unicode MS" w:cs="Arial Unicode MS"/>
      <w:color w:val="000000"/>
      <w:kern w:val="2"/>
      <w:sz w:val="21"/>
      <w:szCs w:val="21"/>
      <w:u w:color="000000"/>
      <w:lang w:val="en-US" w:eastAsia="zh-CN" w:bidi="ar-SA"/>
    </w:rPr>
  </w:style>
  <w:style w:type="paragraph" w:styleId="3">
    <w:name w:val="heading 1"/>
    <w:basedOn w:val="1"/>
    <w:next w:val="1"/>
    <w:link w:val="28"/>
    <w:qFormat/>
    <w:uiPriority w:val="9"/>
    <w:pPr>
      <w:keepNext/>
      <w:keepLines/>
      <w:spacing w:before="340" w:after="330" w:line="578" w:lineRule="auto"/>
      <w:outlineLvl w:val="0"/>
    </w:pPr>
    <w:rPr>
      <w:b/>
      <w:bCs/>
      <w:kern w:val="44"/>
      <w:sz w:val="44"/>
      <w:szCs w:val="44"/>
    </w:rPr>
  </w:style>
  <w:style w:type="paragraph" w:styleId="4">
    <w:name w:val="heading 2"/>
    <w:basedOn w:val="1"/>
    <w:next w:val="1"/>
    <w:link w:val="27"/>
    <w:qFormat/>
    <w:uiPriority w:val="0"/>
    <w:pPr>
      <w:keepNext/>
      <w:keepLines/>
      <w:numPr>
        <w:ilvl w:val="0"/>
        <w:numId w:val="1"/>
      </w:numPr>
      <w:spacing w:line="360" w:lineRule="auto"/>
      <w:outlineLvl w:val="1"/>
    </w:pPr>
    <w:rPr>
      <w:rFonts w:hint="default" w:ascii="宋体" w:hAnsi="宋体" w:eastAsia="宋体" w:cs="Times New Roman"/>
      <w:color w:val="auto"/>
      <w:sz w:val="24"/>
    </w:rPr>
  </w:style>
  <w:style w:type="character" w:default="1" w:styleId="16">
    <w:name w:val="Default Paragraph Font"/>
    <w:semiHidden/>
    <w:unhideWhenUsed/>
    <w:uiPriority w:val="1"/>
  </w:style>
  <w:style w:type="table" w:default="1" w:styleId="14">
    <w:name w:val="Normal Table"/>
    <w:semiHidden/>
    <w:unhideWhenUsed/>
    <w:uiPriority w:val="99"/>
    <w:tblPr>
      <w:tblCellMar>
        <w:top w:w="0" w:type="dxa"/>
        <w:left w:w="108" w:type="dxa"/>
        <w:bottom w:w="0" w:type="dxa"/>
        <w:right w:w="108" w:type="dxa"/>
      </w:tblCellMar>
    </w:tblPr>
  </w:style>
  <w:style w:type="paragraph" w:styleId="2">
    <w:name w:val="List Paragraph"/>
    <w:basedOn w:val="1"/>
    <w:next w:val="1"/>
    <w:link w:val="21"/>
    <w:qFormat/>
    <w:uiPriority w:val="34"/>
    <w:pPr>
      <w:ind w:firstLine="420"/>
    </w:pPr>
  </w:style>
  <w:style w:type="paragraph" w:styleId="5">
    <w:name w:val="annotation text"/>
    <w:basedOn w:val="1"/>
    <w:link w:val="35"/>
    <w:semiHidden/>
    <w:unhideWhenUsed/>
    <w:qFormat/>
    <w:uiPriority w:val="99"/>
    <w:pPr>
      <w:jc w:val="left"/>
    </w:pPr>
  </w:style>
  <w:style w:type="paragraph" w:styleId="6">
    <w:name w:val="Body Text"/>
    <w:basedOn w:val="1"/>
    <w:link w:val="29"/>
    <w:semiHidden/>
    <w:unhideWhenUsed/>
    <w:qFormat/>
    <w:uiPriority w:val="99"/>
    <w:pPr>
      <w:spacing w:after="120"/>
    </w:pPr>
    <w:rPr>
      <w:rFonts w:hint="default" w:ascii="Calibri" w:hAnsi="Calibri" w:eastAsia="宋体" w:cs="Times New Roman"/>
      <w:color w:val="auto"/>
      <w:szCs w:val="22"/>
    </w:rPr>
  </w:style>
  <w:style w:type="paragraph" w:styleId="7">
    <w:name w:val="Body Text Indent"/>
    <w:basedOn w:val="1"/>
    <w:link w:val="32"/>
    <w:semiHidden/>
    <w:unhideWhenUsed/>
    <w:qFormat/>
    <w:uiPriority w:val="99"/>
    <w:pPr>
      <w:spacing w:after="120"/>
      <w:ind w:left="420" w:leftChars="200"/>
    </w:pPr>
    <w:rPr>
      <w:rFonts w:hint="default" w:ascii="Calibri" w:hAnsi="Calibri" w:eastAsia="宋体" w:cs="Times New Roman"/>
      <w:color w:val="auto"/>
      <w:szCs w:val="22"/>
    </w:rPr>
  </w:style>
  <w:style w:type="paragraph" w:styleId="8">
    <w:name w:val="Block Text"/>
    <w:basedOn w:val="1"/>
    <w:qFormat/>
    <w:uiPriority w:val="0"/>
    <w:pPr>
      <w:autoSpaceDE w:val="0"/>
      <w:autoSpaceDN w:val="0"/>
      <w:adjustRightInd w:val="0"/>
      <w:ind w:left="256" w:right="6" w:firstLine="624" w:firstLineChars="200"/>
    </w:pPr>
    <w:rPr>
      <w:rFonts w:eastAsia="仿宋_GB2312"/>
      <w:kern w:val="0"/>
      <w:sz w:val="28"/>
      <w:szCs w:val="20"/>
    </w:rPr>
  </w:style>
  <w:style w:type="paragraph" w:styleId="9">
    <w:name w:val="Plain Text"/>
    <w:basedOn w:val="1"/>
    <w:qFormat/>
    <w:uiPriority w:val="0"/>
    <w:pPr>
      <w:ind w:left="28" w:firstLine="420"/>
    </w:pPr>
    <w:rPr>
      <w:rFonts w:ascii="宋体" w:hAnsi="Courier New"/>
      <w:kern w:val="0"/>
      <w:sz w:val="20"/>
      <w:szCs w:val="20"/>
    </w:rPr>
  </w:style>
  <w:style w:type="paragraph" w:styleId="10">
    <w:name w:val="Balloon Text"/>
    <w:basedOn w:val="1"/>
    <w:link w:val="34"/>
    <w:semiHidden/>
    <w:unhideWhenUsed/>
    <w:qFormat/>
    <w:uiPriority w:val="99"/>
    <w:rPr>
      <w:sz w:val="18"/>
      <w:szCs w:val="18"/>
    </w:rPr>
  </w:style>
  <w:style w:type="paragraph" w:styleId="11">
    <w:name w:val="footer"/>
    <w:link w:val="20"/>
    <w:qFormat/>
    <w:uiPriority w:val="0"/>
    <w:pPr>
      <w:widowControl w:val="0"/>
      <w:tabs>
        <w:tab w:val="center" w:pos="4153"/>
        <w:tab w:val="right" w:pos="8306"/>
      </w:tabs>
    </w:pPr>
    <w:rPr>
      <w:rFonts w:ascii="Calibri" w:hAnsi="Calibri" w:eastAsia="Arial Unicode MS" w:cs="Arial Unicode MS"/>
      <w:color w:val="000000"/>
      <w:kern w:val="2"/>
      <w:sz w:val="18"/>
      <w:szCs w:val="18"/>
      <w:u w:color="000000"/>
      <w:lang w:val="en-US" w:eastAsia="zh-CN" w:bidi="ar-SA"/>
    </w:rPr>
  </w:style>
  <w:style w:type="paragraph" w:styleId="12">
    <w:name w:val="header"/>
    <w:basedOn w:val="1"/>
    <w:link w:val="25"/>
    <w:unhideWhenUsed/>
    <w:qFormat/>
    <w:uiPriority w:val="99"/>
    <w:pPr>
      <w:tabs>
        <w:tab w:val="center" w:pos="4153"/>
        <w:tab w:val="right" w:pos="8306"/>
      </w:tabs>
      <w:snapToGrid w:val="0"/>
      <w:jc w:val="center"/>
    </w:pPr>
    <w:rPr>
      <w:sz w:val="18"/>
      <w:szCs w:val="18"/>
    </w:rPr>
  </w:style>
  <w:style w:type="paragraph" w:styleId="13">
    <w:name w:val="annotation subject"/>
    <w:basedOn w:val="5"/>
    <w:next w:val="5"/>
    <w:link w:val="36"/>
    <w:semiHidden/>
    <w:unhideWhenUsed/>
    <w:qFormat/>
    <w:uiPriority w:val="99"/>
    <w:rPr>
      <w:b/>
      <w:bCs/>
    </w:rPr>
  </w:style>
  <w:style w:type="table" w:styleId="15">
    <w:name w:val="Table Grid"/>
    <w:basedOn w:val="14"/>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7">
    <w:name w:val="Hyperlink"/>
    <w:basedOn w:val="16"/>
    <w:unhideWhenUsed/>
    <w:qFormat/>
    <w:uiPriority w:val="99"/>
    <w:rPr>
      <w:color w:val="0563C1" w:themeColor="hyperlink"/>
      <w:u w:val="single"/>
      <w14:textFill>
        <w14:solidFill>
          <w14:schemeClr w14:val="hlink"/>
        </w14:solidFill>
      </w14:textFill>
    </w:rPr>
  </w:style>
  <w:style w:type="character" w:styleId="18">
    <w:name w:val="annotation reference"/>
    <w:basedOn w:val="16"/>
    <w:semiHidden/>
    <w:unhideWhenUsed/>
    <w:qFormat/>
    <w:uiPriority w:val="99"/>
    <w:rPr>
      <w:sz w:val="21"/>
      <w:szCs w:val="21"/>
    </w:rPr>
  </w:style>
  <w:style w:type="table" w:customStyle="1" w:styleId="19">
    <w:name w:val="Table Normal"/>
    <w:qFormat/>
    <w:uiPriority w:val="0"/>
    <w:tblPr>
      <w:tblCellMar>
        <w:top w:w="0" w:type="dxa"/>
        <w:left w:w="0" w:type="dxa"/>
        <w:bottom w:w="0" w:type="dxa"/>
        <w:right w:w="0" w:type="dxa"/>
      </w:tblCellMar>
    </w:tblPr>
  </w:style>
  <w:style w:type="character" w:customStyle="1" w:styleId="20">
    <w:name w:val="页脚 字符"/>
    <w:basedOn w:val="16"/>
    <w:link w:val="11"/>
    <w:qFormat/>
    <w:uiPriority w:val="0"/>
    <w:rPr>
      <w:rFonts w:ascii="Calibri" w:hAnsi="Calibri" w:eastAsia="Arial Unicode MS" w:cs="Arial Unicode MS"/>
      <w:color w:val="000000"/>
      <w:sz w:val="18"/>
      <w:szCs w:val="18"/>
      <w:u w:color="000000"/>
    </w:rPr>
  </w:style>
  <w:style w:type="character" w:customStyle="1" w:styleId="21">
    <w:name w:val="列表段落 字符"/>
    <w:link w:val="2"/>
    <w:qFormat/>
    <w:locked/>
    <w:uiPriority w:val="34"/>
    <w:rPr>
      <w:rFonts w:ascii="Arial Unicode MS" w:hAnsi="Arial Unicode MS" w:eastAsia="Arial Unicode MS" w:cs="Arial Unicode MS"/>
      <w:color w:val="000000"/>
      <w:szCs w:val="21"/>
      <w:u w:color="000000"/>
    </w:rPr>
  </w:style>
  <w:style w:type="paragraph" w:styleId="22">
    <w:name w:val="No Spacing"/>
    <w:qFormat/>
    <w:uiPriority w:val="1"/>
    <w:pPr>
      <w:widowControl w:val="0"/>
      <w:jc w:val="both"/>
    </w:pPr>
    <w:rPr>
      <w:rFonts w:ascii="Times New Roman" w:hAnsi="Times New Roman" w:eastAsia="宋体" w:cs="Times New Roman"/>
      <w:kern w:val="2"/>
      <w:sz w:val="21"/>
      <w:szCs w:val="22"/>
      <w:lang w:val="en-US" w:eastAsia="zh-CN" w:bidi="ar-SA"/>
    </w:rPr>
  </w:style>
  <w:style w:type="paragraph" w:customStyle="1" w:styleId="23">
    <w:name w:val="_Style 2"/>
    <w:basedOn w:val="1"/>
    <w:qFormat/>
    <w:uiPriority w:val="34"/>
    <w:pPr>
      <w:widowControl/>
      <w:ind w:firstLine="420" w:firstLineChars="200"/>
      <w:jc w:val="left"/>
    </w:pPr>
    <w:rPr>
      <w:rFonts w:hint="default" w:ascii="宋体" w:hAnsi="宋体" w:eastAsia="宋体" w:cs="宋体"/>
      <w:color w:val="auto"/>
      <w:kern w:val="0"/>
      <w:sz w:val="24"/>
      <w:szCs w:val="24"/>
    </w:rPr>
  </w:style>
  <w:style w:type="table" w:customStyle="1" w:styleId="24">
    <w:name w:val="Normal Table0"/>
    <w:qFormat/>
    <w:uiPriority w:val="0"/>
    <w:tblPr>
      <w:tblCellMar>
        <w:top w:w="0" w:type="dxa"/>
        <w:left w:w="0" w:type="dxa"/>
        <w:bottom w:w="0" w:type="dxa"/>
        <w:right w:w="0" w:type="dxa"/>
      </w:tblCellMar>
    </w:tblPr>
  </w:style>
  <w:style w:type="character" w:customStyle="1" w:styleId="25">
    <w:name w:val="页眉 字符"/>
    <w:basedOn w:val="16"/>
    <w:link w:val="12"/>
    <w:qFormat/>
    <w:uiPriority w:val="99"/>
    <w:rPr>
      <w:rFonts w:ascii="Arial Unicode MS" w:hAnsi="Arial Unicode MS" w:eastAsia="Arial Unicode MS" w:cs="Arial Unicode MS"/>
      <w:color w:val="000000"/>
      <w:sz w:val="18"/>
      <w:szCs w:val="18"/>
      <w:u w:color="000000"/>
    </w:rPr>
  </w:style>
  <w:style w:type="character" w:customStyle="1" w:styleId="26">
    <w:name w:val="未处理的提及1"/>
    <w:basedOn w:val="16"/>
    <w:semiHidden/>
    <w:unhideWhenUsed/>
    <w:qFormat/>
    <w:uiPriority w:val="99"/>
    <w:rPr>
      <w:color w:val="605E5C"/>
      <w:shd w:val="clear" w:color="auto" w:fill="E1DFDD"/>
    </w:rPr>
  </w:style>
  <w:style w:type="character" w:customStyle="1" w:styleId="27">
    <w:name w:val="标题 2 字符"/>
    <w:basedOn w:val="16"/>
    <w:link w:val="4"/>
    <w:qFormat/>
    <w:uiPriority w:val="0"/>
    <w:rPr>
      <w:rFonts w:ascii="宋体" w:hAnsi="宋体" w:eastAsia="宋体" w:cs="Times New Roman"/>
      <w:sz w:val="24"/>
      <w:szCs w:val="21"/>
    </w:rPr>
  </w:style>
  <w:style w:type="character" w:customStyle="1" w:styleId="28">
    <w:name w:val="标题 1 字符"/>
    <w:basedOn w:val="16"/>
    <w:link w:val="3"/>
    <w:qFormat/>
    <w:uiPriority w:val="9"/>
    <w:rPr>
      <w:rFonts w:ascii="Arial Unicode MS" w:hAnsi="Arial Unicode MS" w:eastAsia="Arial Unicode MS" w:cs="Arial Unicode MS"/>
      <w:b/>
      <w:bCs/>
      <w:color w:val="000000"/>
      <w:kern w:val="44"/>
      <w:sz w:val="44"/>
      <w:szCs w:val="44"/>
      <w:u w:color="000000"/>
    </w:rPr>
  </w:style>
  <w:style w:type="character" w:customStyle="1" w:styleId="29">
    <w:name w:val="正文文本 字符"/>
    <w:basedOn w:val="16"/>
    <w:link w:val="6"/>
    <w:semiHidden/>
    <w:qFormat/>
    <w:uiPriority w:val="99"/>
    <w:rPr>
      <w:rFonts w:ascii="Calibri" w:hAnsi="Calibri" w:eastAsia="宋体" w:cs="Times New Roman"/>
    </w:rPr>
  </w:style>
  <w:style w:type="paragraph" w:customStyle="1" w:styleId="30">
    <w:name w:val="正文文字3"/>
    <w:basedOn w:val="6"/>
    <w:qFormat/>
    <w:uiPriority w:val="0"/>
    <w:pPr>
      <w:adjustRightInd w:val="0"/>
      <w:spacing w:after="0" w:line="360" w:lineRule="atLeast"/>
      <w:ind w:left="30" w:leftChars="30" w:right="30" w:rightChars="30"/>
      <w:textAlignment w:val="baseline"/>
    </w:pPr>
    <w:rPr>
      <w:rFonts w:ascii="Times New Roman" w:hAnsi="Times New Roman"/>
      <w:kern w:val="0"/>
      <w:szCs w:val="20"/>
      <w:lang w:val="zh-CN"/>
    </w:rPr>
  </w:style>
  <w:style w:type="paragraph" w:customStyle="1" w:styleId="31">
    <w:name w:val="正文文字1"/>
    <w:basedOn w:val="6"/>
    <w:qFormat/>
    <w:uiPriority w:val="0"/>
    <w:pPr>
      <w:adjustRightInd w:val="0"/>
      <w:spacing w:after="0" w:line="360" w:lineRule="atLeast"/>
      <w:ind w:left="72" w:leftChars="30" w:right="72" w:rightChars="30"/>
      <w:textAlignment w:val="baseline"/>
    </w:pPr>
    <w:rPr>
      <w:rFonts w:ascii="Times New Roman" w:hAnsi="Times New Roman"/>
      <w:kern w:val="0"/>
      <w:szCs w:val="20"/>
      <w:lang w:val="zh-CN"/>
    </w:rPr>
  </w:style>
  <w:style w:type="character" w:customStyle="1" w:styleId="32">
    <w:name w:val="正文文本缩进 字符"/>
    <w:basedOn w:val="16"/>
    <w:link w:val="7"/>
    <w:semiHidden/>
    <w:qFormat/>
    <w:uiPriority w:val="99"/>
    <w:rPr>
      <w:rFonts w:ascii="Calibri" w:hAnsi="Calibri" w:eastAsia="宋体" w:cs="Times New Roman"/>
    </w:rPr>
  </w:style>
  <w:style w:type="paragraph" w:customStyle="1" w:styleId="33">
    <w:name w:val="_Style 31"/>
    <w:basedOn w:val="1"/>
    <w:next w:val="2"/>
    <w:qFormat/>
    <w:uiPriority w:val="34"/>
    <w:pPr>
      <w:widowControl/>
      <w:ind w:firstLine="420" w:firstLineChars="200"/>
      <w:jc w:val="left"/>
    </w:pPr>
    <w:rPr>
      <w:rFonts w:ascii="宋体" w:hAnsi="宋体" w:cs="宋体"/>
      <w:kern w:val="0"/>
      <w:sz w:val="24"/>
      <w:szCs w:val="24"/>
    </w:rPr>
  </w:style>
  <w:style w:type="character" w:customStyle="1" w:styleId="34">
    <w:name w:val="批注框文本 字符"/>
    <w:basedOn w:val="16"/>
    <w:link w:val="10"/>
    <w:semiHidden/>
    <w:qFormat/>
    <w:uiPriority w:val="99"/>
    <w:rPr>
      <w:rFonts w:ascii="Arial Unicode MS" w:hAnsi="Arial Unicode MS" w:eastAsia="Arial Unicode MS" w:cs="Arial Unicode MS"/>
      <w:color w:val="000000"/>
      <w:kern w:val="2"/>
      <w:sz w:val="18"/>
      <w:szCs w:val="18"/>
      <w:u w:color="000000"/>
    </w:rPr>
  </w:style>
  <w:style w:type="character" w:customStyle="1" w:styleId="35">
    <w:name w:val="批注文字 字符"/>
    <w:basedOn w:val="16"/>
    <w:link w:val="5"/>
    <w:semiHidden/>
    <w:qFormat/>
    <w:uiPriority w:val="99"/>
    <w:rPr>
      <w:rFonts w:ascii="Arial Unicode MS" w:hAnsi="Arial Unicode MS" w:eastAsia="Arial Unicode MS" w:cs="Arial Unicode MS"/>
      <w:color w:val="000000"/>
      <w:kern w:val="2"/>
      <w:sz w:val="21"/>
      <w:szCs w:val="21"/>
      <w:u w:color="000000"/>
    </w:rPr>
  </w:style>
  <w:style w:type="character" w:customStyle="1" w:styleId="36">
    <w:name w:val="批注主题 字符"/>
    <w:basedOn w:val="35"/>
    <w:link w:val="13"/>
    <w:semiHidden/>
    <w:qFormat/>
    <w:uiPriority w:val="99"/>
    <w:rPr>
      <w:rFonts w:ascii="Arial Unicode MS" w:hAnsi="Arial Unicode MS" w:eastAsia="Arial Unicode MS" w:cs="Arial Unicode MS"/>
      <w:b/>
      <w:bCs/>
      <w:color w:val="000000"/>
      <w:kern w:val="2"/>
      <w:sz w:val="21"/>
      <w:szCs w:val="21"/>
      <w:u w:color="000000"/>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EA5A6C0-59FC-4DD3-9E34-004B073CDD82}">
  <ds:schemaRefs/>
</ds:datastoreItem>
</file>

<file path=docProps/app.xml><?xml version="1.0" encoding="utf-8"?>
<Properties xmlns="http://schemas.openxmlformats.org/officeDocument/2006/extended-properties" xmlns:vt="http://schemas.openxmlformats.org/officeDocument/2006/docPropsVTypes">
  <Template>Normal.dotm</Template>
  <Pages>6</Pages>
  <Words>1590</Words>
  <Characters>1697</Characters>
  <Lines>25</Lines>
  <Paragraphs>7</Paragraphs>
  <TotalTime>29</TotalTime>
  <ScaleCrop>false</ScaleCrop>
  <LinksUpToDate>false</LinksUpToDate>
  <CharactersWithSpaces>1704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2025-11-12T06:01:00Z</dcterms:created>
  <dc:creator>cheng kai</dc:creator>
  <cp:lastModifiedBy>吴珉玥</cp:lastModifiedBy>
  <cp:lastPrinted>2025-11-16T07:30:00Z</cp:lastPrinted>
  <dcterms:modified xsi:type="dcterms:W3CDTF">2026-10-14T07:32:23Z</dcterms:modified>
  <cp:revision>41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7606DB49607743ABADF6EC125D2632BE_13</vt:lpwstr>
  </property>
  <property fmtid="{D5CDD505-2E9C-101B-9397-08002B2CF9AE}" pid="4" name="KSOTemplateDocerSaveRecord">
    <vt:lpwstr>eyJoZGlkIjoiMmI0ZTc1YTI5NjFiZTI0MWExYmFiYTNmOTViOGZkMmUiLCJ1c2VySWQiOiIxNjg1MjA1NjUwIn0=</vt:lpwstr>
  </property>
</Properties>
</file>