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9E660">
      <w:pPr>
        <w:jc w:val="center"/>
        <w:rPr>
          <w:rFonts w:hint="eastAsia" w:ascii="宋体" w:hAnsi="宋体" w:eastAsia="宋体"/>
          <w:b/>
          <w:bCs/>
          <w:sz w:val="32"/>
          <w:szCs w:val="32"/>
        </w:rPr>
      </w:pPr>
      <w:r>
        <w:rPr>
          <w:rFonts w:hint="eastAsia" w:ascii="宋体" w:hAnsi="宋体" w:eastAsia="宋体"/>
          <w:b/>
          <w:bCs/>
          <w:sz w:val="32"/>
          <w:szCs w:val="32"/>
        </w:rPr>
        <w:t>上海外国语大学（松江校区）中阿改革发展研究中心项目</w:t>
      </w:r>
    </w:p>
    <w:p w14:paraId="48C7F6C6">
      <w:pPr>
        <w:jc w:val="center"/>
        <w:rPr>
          <w:rFonts w:hint="eastAsia" w:ascii="宋体" w:hAnsi="宋体" w:eastAsia="宋体"/>
          <w:b/>
          <w:bCs/>
          <w:sz w:val="32"/>
          <w:szCs w:val="32"/>
        </w:rPr>
      </w:pPr>
      <w:r>
        <w:rPr>
          <w:rFonts w:hint="eastAsia" w:ascii="宋体" w:hAnsi="宋体" w:eastAsia="宋体"/>
          <w:b/>
          <w:bCs/>
          <w:sz w:val="32"/>
          <w:szCs w:val="32"/>
        </w:rPr>
        <w:t>消防查验服务采购需求</w:t>
      </w:r>
    </w:p>
    <w:p w14:paraId="3A52D42F">
      <w:pPr>
        <w:rPr>
          <w:rFonts w:hint="eastAsia" w:ascii="宋体" w:hAnsi="宋体" w:eastAsia="宋体"/>
          <w:b/>
          <w:bCs/>
          <w:sz w:val="24"/>
          <w:szCs w:val="24"/>
        </w:rPr>
      </w:pPr>
    </w:p>
    <w:p w14:paraId="16A2E924">
      <w:pPr>
        <w:spacing w:line="360" w:lineRule="auto"/>
        <w:rPr>
          <w:rFonts w:hint="eastAsia" w:ascii="宋体" w:hAnsi="宋体" w:eastAsia="宋体"/>
          <w:b/>
          <w:bCs/>
          <w:sz w:val="24"/>
          <w:szCs w:val="24"/>
        </w:rPr>
      </w:pPr>
    </w:p>
    <w:p w14:paraId="02D6CA4C">
      <w:pPr>
        <w:widowControl/>
        <w:numPr>
          <w:ilvl w:val="0"/>
          <w:numId w:val="1"/>
        </w:numPr>
        <w:spacing w:line="360" w:lineRule="auto"/>
        <w:jc w:val="left"/>
        <w:rPr>
          <w:rFonts w:hint="eastAsia" w:ascii="宋体" w:hAnsi="宋体" w:eastAsia="宋体" w:cs="宋体"/>
          <w:b/>
          <w:bCs/>
          <w:color w:val="000000"/>
          <w:kern w:val="0"/>
          <w:sz w:val="28"/>
          <w:szCs w:val="28"/>
          <w:lang w:bidi="ar"/>
        </w:rPr>
      </w:pPr>
      <w:r>
        <w:rPr>
          <w:rFonts w:hint="eastAsia" w:ascii="宋体" w:hAnsi="宋体" w:eastAsia="宋体" w:cs="宋体"/>
          <w:b/>
          <w:bCs/>
          <w:color w:val="000000"/>
          <w:kern w:val="0"/>
          <w:sz w:val="28"/>
          <w:szCs w:val="28"/>
          <w:lang w:bidi="ar"/>
        </w:rPr>
        <w:t>项目概况</w:t>
      </w:r>
    </w:p>
    <w:p w14:paraId="051B6C47">
      <w:pPr>
        <w:widowControl/>
        <w:numPr>
          <w:ilvl w:val="0"/>
          <w:numId w:val="2"/>
        </w:numPr>
        <w:spacing w:line="360" w:lineRule="auto"/>
        <w:jc w:val="left"/>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项目名称：</w:t>
      </w:r>
      <w:r>
        <w:rPr>
          <w:rFonts w:ascii="宋体" w:hAnsi="宋体" w:eastAsia="宋体" w:cs="宋体"/>
          <w:color w:val="1F2329"/>
          <w:kern w:val="0"/>
          <w:sz w:val="24"/>
          <w:szCs w:val="24"/>
          <w:lang w:bidi="ar"/>
        </w:rPr>
        <w:t>上海外国语大学（松江校区）中阿改革发展研究中心项目</w:t>
      </w:r>
      <w:r>
        <w:rPr>
          <w:rFonts w:hint="eastAsia" w:ascii="宋体" w:hAnsi="宋体" w:eastAsia="宋体" w:cs="宋体"/>
          <w:color w:val="1F2329"/>
          <w:kern w:val="0"/>
          <w:sz w:val="24"/>
          <w:szCs w:val="24"/>
          <w:lang w:val="en-US" w:eastAsia="zh-CN" w:bidi="ar"/>
        </w:rPr>
        <w:t>消防查验技术服务。</w:t>
      </w:r>
    </w:p>
    <w:p w14:paraId="081588C9">
      <w:pPr>
        <w:widowControl/>
        <w:numPr>
          <w:ilvl w:val="0"/>
          <w:numId w:val="2"/>
        </w:numPr>
        <w:spacing w:line="360" w:lineRule="auto"/>
        <w:jc w:val="left"/>
        <w:rPr>
          <w:rFonts w:hint="eastAsia" w:ascii="宋体" w:hAnsi="宋体" w:eastAsia="宋体" w:cs="宋体"/>
          <w:color w:val="1F2329"/>
          <w:kern w:val="0"/>
          <w:sz w:val="24"/>
          <w:szCs w:val="24"/>
          <w:lang w:bidi="ar"/>
        </w:rPr>
      </w:pPr>
      <w:r>
        <w:rPr>
          <w:rFonts w:hint="eastAsia" w:ascii="宋体" w:hAnsi="宋体" w:eastAsia="宋体" w:cs="宋体"/>
          <w:color w:val="1F2329"/>
          <w:kern w:val="0"/>
          <w:sz w:val="24"/>
          <w:szCs w:val="24"/>
          <w:lang w:bidi="ar"/>
        </w:rPr>
        <w:t>项目概况：新建 1 栋地下 1 层、地上 17 层的综合大楼，裙房 2-3 层，同步实施室外总体工程，总建筑面积 31200 平方米，其中地上建筑面积 26108.94 平方米，地下建筑面积 5091.06 平方米。</w:t>
      </w:r>
    </w:p>
    <w:p w14:paraId="44F68749">
      <w:pPr>
        <w:spacing w:line="360" w:lineRule="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3、主要建设内容：提供消防预查验、资料核查、整改技术指导、现场查验配合、问题闭环复核等消防查验相关技术服务，协助甲方完成项目消防查验工作。</w:t>
      </w:r>
    </w:p>
    <w:p w14:paraId="7A68EE26">
      <w:pPr>
        <w:widowControl/>
        <w:spacing w:line="360" w:lineRule="auto"/>
        <w:jc w:val="left"/>
        <w:rPr>
          <w:rFonts w:hint="eastAsia" w:ascii="宋体" w:hAnsi="宋体" w:eastAsia="宋体" w:cs="宋体"/>
          <w:color w:val="000000"/>
          <w:kern w:val="0"/>
          <w:sz w:val="24"/>
          <w:szCs w:val="24"/>
          <w:highlight w:val="none"/>
          <w:lang w:bidi="ar"/>
        </w:rPr>
      </w:pPr>
      <w:r>
        <w:rPr>
          <w:rFonts w:ascii="宋体" w:hAnsi="宋体" w:eastAsia="宋体" w:cs="宋体"/>
          <w:color w:val="000000"/>
          <w:kern w:val="0"/>
          <w:sz w:val="24"/>
          <w:szCs w:val="24"/>
          <w:highlight w:val="none"/>
          <w:lang w:bidi="ar"/>
        </w:rPr>
        <w:t>4</w:t>
      </w:r>
      <w:r>
        <w:rPr>
          <w:rFonts w:hint="eastAsia" w:ascii="宋体" w:hAnsi="宋体" w:eastAsia="宋体" w:cs="宋体"/>
          <w:color w:val="000000"/>
          <w:kern w:val="0"/>
          <w:sz w:val="24"/>
          <w:szCs w:val="24"/>
          <w:highlight w:val="none"/>
          <w:lang w:bidi="ar"/>
        </w:rPr>
        <w:t>、项目最高限价：人民币：柒万</w:t>
      </w:r>
      <w:r>
        <w:rPr>
          <w:rFonts w:hint="eastAsia" w:ascii="宋体" w:hAnsi="宋体" w:eastAsia="宋体" w:cs="宋体"/>
          <w:color w:val="000000"/>
          <w:kern w:val="0"/>
          <w:sz w:val="24"/>
          <w:szCs w:val="24"/>
          <w:highlight w:val="none"/>
          <w:lang w:val="en-US" w:eastAsia="zh-CN" w:bidi="ar"/>
        </w:rPr>
        <w:t>柒仟</w:t>
      </w:r>
      <w:r>
        <w:rPr>
          <w:rFonts w:hint="eastAsia" w:ascii="宋体" w:hAnsi="宋体" w:eastAsia="宋体" w:cs="宋体"/>
          <w:color w:val="000000"/>
          <w:kern w:val="0"/>
          <w:sz w:val="24"/>
          <w:szCs w:val="24"/>
          <w:highlight w:val="none"/>
          <w:lang w:bidi="ar"/>
        </w:rPr>
        <w:t>元整（小写：7</w:t>
      </w:r>
      <w:r>
        <w:rPr>
          <w:rFonts w:hint="eastAsia" w:ascii="宋体" w:hAnsi="宋体" w:eastAsia="宋体" w:cs="宋体"/>
          <w:color w:val="000000"/>
          <w:kern w:val="0"/>
          <w:sz w:val="24"/>
          <w:szCs w:val="24"/>
          <w:highlight w:val="none"/>
          <w:lang w:val="en-US" w:eastAsia="zh-CN" w:bidi="ar"/>
        </w:rPr>
        <w:t>7</w:t>
      </w:r>
      <w:r>
        <w:rPr>
          <w:rFonts w:hint="eastAsia" w:ascii="宋体" w:hAnsi="宋体" w:eastAsia="宋体" w:cs="宋体"/>
          <w:color w:val="000000"/>
          <w:kern w:val="0"/>
          <w:sz w:val="24"/>
          <w:szCs w:val="24"/>
          <w:highlight w:val="none"/>
          <w:lang w:bidi="ar"/>
        </w:rPr>
        <w:t>000元</w:t>
      </w:r>
      <w:r>
        <w:rPr>
          <w:rFonts w:ascii="宋体" w:hAnsi="宋体" w:eastAsia="宋体" w:cs="宋体"/>
          <w:color w:val="000000"/>
          <w:kern w:val="0"/>
          <w:sz w:val="24"/>
          <w:szCs w:val="24"/>
          <w:highlight w:val="none"/>
          <w:lang w:bidi="ar"/>
        </w:rPr>
        <w:t>）</w:t>
      </w:r>
    </w:p>
    <w:p w14:paraId="26852144">
      <w:pPr>
        <w:widowControl/>
        <w:spacing w:line="360" w:lineRule="auto"/>
        <w:jc w:val="left"/>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5、项目服务周期：自合同签订后直至完成合同所有内容的工作。</w:t>
      </w:r>
    </w:p>
    <w:p w14:paraId="01AA1629">
      <w:pPr>
        <w:widowControl/>
        <w:spacing w:line="360" w:lineRule="auto"/>
        <w:jc w:val="left"/>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6、合同款项的支付方式、时间、条件：</w:t>
      </w:r>
    </w:p>
    <w:p w14:paraId="5AB7998D">
      <w:pPr>
        <w:spacing w:line="360" w:lineRule="auto"/>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eastAsia="zh-CN" w:bidi="ar"/>
        </w:rPr>
        <w:t>合同价款为包干总价，合同生效后支付合同总价 50% 预付款；项目消防查验完成、资料归档且乙方交付全部成果资料经甲方验收通过后付清尾款。</w:t>
      </w:r>
    </w:p>
    <w:p w14:paraId="190A7853">
      <w:pPr>
        <w:widowControl/>
        <w:spacing w:line="360" w:lineRule="auto"/>
        <w:jc w:val="left"/>
        <w:rPr>
          <w:rFonts w:hint="eastAsia" w:ascii="宋体" w:hAnsi="宋体" w:eastAsia="宋体" w:cs="宋体"/>
          <w:color w:val="000000"/>
          <w:kern w:val="0"/>
          <w:sz w:val="24"/>
          <w:szCs w:val="24"/>
          <w:highlight w:val="yellow"/>
          <w:lang w:eastAsia="zh-CN" w:bidi="ar"/>
        </w:rPr>
      </w:pPr>
    </w:p>
    <w:p w14:paraId="7520CB47">
      <w:pPr>
        <w:widowControl/>
        <w:numPr>
          <w:ilvl w:val="0"/>
          <w:numId w:val="1"/>
        </w:numPr>
        <w:tabs>
          <w:tab w:val="left" w:pos="5305"/>
        </w:tabs>
        <w:spacing w:line="360" w:lineRule="auto"/>
        <w:jc w:val="left"/>
        <w:rPr>
          <w:rFonts w:hint="eastAsia" w:ascii="宋体" w:hAnsi="宋体" w:eastAsia="宋体" w:cs="宋体"/>
          <w:b/>
          <w:bCs/>
          <w:color w:val="000000"/>
          <w:kern w:val="0"/>
          <w:sz w:val="28"/>
          <w:szCs w:val="28"/>
          <w:lang w:bidi="ar"/>
        </w:rPr>
      </w:pPr>
      <w:r>
        <w:rPr>
          <w:rFonts w:hint="eastAsia" w:ascii="宋体" w:hAnsi="宋体" w:eastAsia="宋体" w:cs="宋体"/>
          <w:b/>
          <w:bCs/>
          <w:color w:val="000000"/>
          <w:kern w:val="0"/>
          <w:sz w:val="28"/>
          <w:szCs w:val="28"/>
          <w:lang w:bidi="ar"/>
        </w:rPr>
        <w:t>服务范围、内容、标准及要求</w:t>
      </w:r>
      <w:r>
        <w:rPr>
          <w:rFonts w:hint="eastAsia" w:ascii="宋体" w:hAnsi="宋体" w:eastAsia="宋体" w:cs="宋体"/>
          <w:b/>
          <w:bCs/>
          <w:color w:val="000000"/>
          <w:kern w:val="0"/>
          <w:sz w:val="28"/>
          <w:szCs w:val="28"/>
          <w:lang w:bidi="ar"/>
        </w:rPr>
        <w:tab/>
      </w:r>
    </w:p>
    <w:p w14:paraId="23B07383">
      <w:pPr>
        <w:pStyle w:val="3"/>
        <w:keepNext w:val="0"/>
        <w:keepLines w:val="0"/>
        <w:widowControl/>
        <w:spacing w:before="0" w:after="0" w:line="360" w:lineRule="auto"/>
        <w:rPr>
          <w:rFonts w:hint="eastAsia" w:ascii="宋体" w:hAnsi="宋体" w:eastAsia="宋体" w:cs="宋体"/>
          <w:b/>
          <w:bCs/>
          <w:color w:val="1F2329"/>
          <w:sz w:val="24"/>
          <w:szCs w:val="24"/>
        </w:rPr>
      </w:pPr>
      <w:r>
        <w:rPr>
          <w:rFonts w:hint="eastAsia" w:ascii="宋体" w:hAnsi="宋体" w:eastAsia="宋体" w:cs="宋体"/>
          <w:b/>
          <w:bCs/>
          <w:color w:val="1F2329"/>
          <w:sz w:val="24"/>
          <w:szCs w:val="24"/>
        </w:rPr>
        <w:t>（一）服务范围</w:t>
      </w:r>
    </w:p>
    <w:p w14:paraId="08D40BD7">
      <w:pPr>
        <w:widowControl/>
        <w:spacing w:line="360" w:lineRule="auto"/>
        <w:ind w:firstLine="480" w:firstLineChars="200"/>
        <w:jc w:val="left"/>
        <w:rPr>
          <w:rFonts w:hint="eastAsia" w:ascii="宋体" w:hAnsi="宋体" w:eastAsia="宋体" w:cs="宋体"/>
          <w:color w:val="1F2329"/>
          <w:sz w:val="24"/>
          <w:szCs w:val="24"/>
        </w:rPr>
      </w:pPr>
      <w:r>
        <w:rPr>
          <w:rFonts w:hint="eastAsia" w:ascii="宋体" w:hAnsi="宋体" w:eastAsia="宋体" w:cs="宋体"/>
          <w:color w:val="1F2329"/>
          <w:kern w:val="0"/>
          <w:sz w:val="24"/>
          <w:szCs w:val="24"/>
          <w:lang w:bidi="ar"/>
        </w:rPr>
        <w:t>上海外国语大学（松江校区）中阿改革发展研究中心项目建筑、消防设施系统，包含火灾自动报警系统、消火栓系统、自动喷水灭火系统、防排烟系统、应急照明及疏散指示系统、防火门 / 防火卷帘、消防配电等全部消防相关工程内容，配合完成消防查验、问题整改复核、资料归集等全流程技术服务。</w:t>
      </w:r>
    </w:p>
    <w:p w14:paraId="75C6B22F">
      <w:pPr>
        <w:pStyle w:val="3"/>
        <w:keepNext w:val="0"/>
        <w:keepLines w:val="0"/>
        <w:widowControl/>
        <w:spacing w:before="0" w:after="0" w:line="360" w:lineRule="auto"/>
        <w:rPr>
          <w:rFonts w:hint="eastAsia" w:ascii="宋体" w:hAnsi="宋体" w:eastAsia="宋体" w:cs="宋体"/>
          <w:b/>
          <w:bCs/>
          <w:color w:val="1F2329"/>
          <w:sz w:val="24"/>
          <w:szCs w:val="24"/>
        </w:rPr>
      </w:pPr>
      <w:r>
        <w:rPr>
          <w:rFonts w:hint="eastAsia" w:ascii="宋体" w:hAnsi="宋体" w:eastAsia="宋体" w:cs="宋体"/>
          <w:b/>
          <w:bCs/>
          <w:color w:val="1F2329"/>
          <w:sz w:val="24"/>
          <w:szCs w:val="24"/>
        </w:rPr>
        <w:t>（二）服务内容</w:t>
      </w:r>
    </w:p>
    <w:p w14:paraId="67F60D51">
      <w:pPr>
        <w:widowControl/>
        <w:spacing w:line="360" w:lineRule="auto"/>
        <w:ind w:left="358" w:leftChars="56" w:hanging="240" w:hangingChars="100"/>
        <w:jc w:val="left"/>
        <w:rPr>
          <w:rFonts w:hint="eastAsia" w:ascii="宋体" w:hAnsi="宋体" w:eastAsia="宋体" w:cs="宋体"/>
          <w:bCs/>
          <w:color w:val="1F2329"/>
          <w:sz w:val="24"/>
          <w:szCs w:val="24"/>
        </w:rPr>
      </w:pPr>
      <w:r>
        <w:rPr>
          <w:rStyle w:val="21"/>
          <w:rFonts w:hint="eastAsia" w:ascii="宋体" w:hAnsi="宋体" w:eastAsia="宋体" w:cs="宋体"/>
          <w:b w:val="0"/>
          <w:bCs/>
          <w:color w:val="1F2329"/>
          <w:sz w:val="24"/>
          <w:szCs w:val="24"/>
        </w:rPr>
        <w:t>1、前期资料核查</w:t>
      </w:r>
      <w:r>
        <w:rPr>
          <w:rFonts w:hint="eastAsia" w:ascii="宋体" w:hAnsi="宋体" w:eastAsia="宋体" w:cs="宋体"/>
          <w:bCs/>
          <w:color w:val="1F2329"/>
          <w:sz w:val="24"/>
          <w:szCs w:val="24"/>
        </w:rPr>
        <w:t>：梳理项目消防竣工资料，核对图纸、设备合格证、检测报告、隐蔽记录等资料完整性，提前排查资料缺项、错漏问题。</w:t>
      </w:r>
    </w:p>
    <w:p w14:paraId="43BC3231">
      <w:pPr>
        <w:widowControl/>
        <w:spacing w:line="360" w:lineRule="auto"/>
        <w:ind w:left="358" w:leftChars="56" w:hanging="240" w:hangingChars="100"/>
        <w:jc w:val="left"/>
        <w:rPr>
          <w:rFonts w:hint="eastAsia" w:ascii="宋体" w:hAnsi="宋体" w:eastAsia="宋体" w:cs="宋体"/>
          <w:bCs/>
          <w:color w:val="1F2329"/>
          <w:sz w:val="24"/>
          <w:szCs w:val="24"/>
        </w:rPr>
      </w:pPr>
      <w:r>
        <w:rPr>
          <w:rStyle w:val="21"/>
          <w:rFonts w:hint="eastAsia" w:ascii="宋体" w:hAnsi="宋体" w:eastAsia="宋体" w:cs="宋体"/>
          <w:b w:val="0"/>
          <w:bCs/>
          <w:color w:val="1F2329"/>
          <w:sz w:val="24"/>
          <w:szCs w:val="24"/>
        </w:rPr>
        <w:t>2、现场预查验</w:t>
      </w:r>
      <w:r>
        <w:rPr>
          <w:rFonts w:hint="eastAsia" w:ascii="宋体" w:hAnsi="宋体" w:eastAsia="宋体" w:cs="宋体"/>
          <w:bCs/>
          <w:color w:val="1F2329"/>
          <w:sz w:val="24"/>
          <w:szCs w:val="24"/>
        </w:rPr>
        <w:t>：对照现行消防规范开展现场全面排查，核查消防设施安装、管线敷设、防火分隔、疏散通道、消防水泵房、风机房等现场实体质量，形成预查验问题清单。</w:t>
      </w:r>
    </w:p>
    <w:p w14:paraId="7EB9E679">
      <w:pPr>
        <w:widowControl/>
        <w:spacing w:line="360" w:lineRule="auto"/>
        <w:ind w:left="358" w:leftChars="56" w:hanging="240" w:hangingChars="100"/>
        <w:jc w:val="left"/>
        <w:rPr>
          <w:rFonts w:hint="eastAsia" w:ascii="宋体" w:hAnsi="宋体" w:eastAsia="宋体" w:cs="宋体"/>
          <w:bCs/>
          <w:color w:val="1F2329"/>
          <w:sz w:val="24"/>
          <w:szCs w:val="24"/>
        </w:rPr>
      </w:pPr>
      <w:r>
        <w:rPr>
          <w:rStyle w:val="21"/>
          <w:rFonts w:hint="eastAsia" w:ascii="宋体" w:hAnsi="宋体" w:eastAsia="宋体" w:cs="宋体"/>
          <w:b w:val="0"/>
          <w:bCs/>
          <w:color w:val="1F2329"/>
          <w:sz w:val="24"/>
          <w:szCs w:val="24"/>
        </w:rPr>
        <w:t>3、整改技术指导</w:t>
      </w:r>
      <w:r>
        <w:rPr>
          <w:rFonts w:hint="eastAsia" w:ascii="宋体" w:hAnsi="宋体" w:eastAsia="宋体" w:cs="宋体"/>
          <w:bCs/>
          <w:color w:val="1F2329"/>
          <w:sz w:val="24"/>
          <w:szCs w:val="24"/>
        </w:rPr>
        <w:t>：针对排查出的问题，提供整改技术建议，跟进施工单位整改过程，对整改完成项进行复核，确保整改内容符合规范要求。</w:t>
      </w:r>
    </w:p>
    <w:p w14:paraId="6E3B85F6">
      <w:pPr>
        <w:widowControl/>
        <w:spacing w:line="360" w:lineRule="auto"/>
        <w:ind w:left="358" w:leftChars="56" w:hanging="240" w:hangingChars="100"/>
        <w:jc w:val="left"/>
        <w:rPr>
          <w:rFonts w:hint="eastAsia" w:ascii="宋体" w:hAnsi="宋体" w:eastAsia="宋体" w:cs="宋体"/>
          <w:bCs/>
          <w:color w:val="1F2329"/>
          <w:sz w:val="24"/>
          <w:szCs w:val="24"/>
        </w:rPr>
      </w:pPr>
      <w:r>
        <w:rPr>
          <w:rStyle w:val="21"/>
          <w:rFonts w:hint="eastAsia" w:ascii="宋体" w:hAnsi="宋体" w:eastAsia="宋体" w:cs="宋体"/>
          <w:b w:val="0"/>
          <w:bCs/>
          <w:color w:val="1F2329"/>
          <w:sz w:val="24"/>
          <w:szCs w:val="24"/>
        </w:rPr>
        <w:t>4、查验配合工作</w:t>
      </w:r>
      <w:r>
        <w:rPr>
          <w:rFonts w:hint="eastAsia" w:ascii="宋体" w:hAnsi="宋体" w:eastAsia="宋体" w:cs="宋体"/>
          <w:bCs/>
          <w:color w:val="1F2329"/>
          <w:sz w:val="24"/>
          <w:szCs w:val="24"/>
        </w:rPr>
        <w:t>：协助建设单位准备消防查验申报资料；在主管部门现场查验时到场配合，现场答疑，配合查验人员开展各项功能测试。</w:t>
      </w:r>
    </w:p>
    <w:p w14:paraId="1B44D5BC">
      <w:pPr>
        <w:widowControl/>
        <w:spacing w:line="360" w:lineRule="auto"/>
        <w:ind w:left="358" w:leftChars="56" w:hanging="240" w:hangingChars="100"/>
        <w:jc w:val="left"/>
        <w:rPr>
          <w:rFonts w:hint="eastAsia" w:ascii="宋体" w:hAnsi="宋体" w:eastAsia="宋体" w:cs="宋体"/>
          <w:bCs/>
          <w:color w:val="1F2329"/>
          <w:sz w:val="24"/>
          <w:szCs w:val="24"/>
        </w:rPr>
      </w:pPr>
      <w:r>
        <w:rPr>
          <w:rStyle w:val="21"/>
          <w:rFonts w:hint="eastAsia" w:ascii="宋体" w:hAnsi="宋体" w:eastAsia="宋体" w:cs="宋体"/>
          <w:b w:val="0"/>
          <w:bCs/>
          <w:color w:val="1F2329"/>
          <w:sz w:val="24"/>
          <w:szCs w:val="24"/>
        </w:rPr>
        <w:t>5、问题闭环</w:t>
      </w:r>
      <w:r>
        <w:rPr>
          <w:rFonts w:hint="eastAsia" w:ascii="宋体" w:hAnsi="宋体" w:eastAsia="宋体" w:cs="宋体"/>
          <w:bCs/>
          <w:color w:val="1F2329"/>
          <w:sz w:val="24"/>
          <w:szCs w:val="24"/>
        </w:rPr>
        <w:t>：针对查验提出的整改意见，跟踪落实整改、复核，直至消防查验通过。</w:t>
      </w:r>
    </w:p>
    <w:p w14:paraId="0EF626E1">
      <w:pPr>
        <w:widowControl/>
        <w:spacing w:line="360" w:lineRule="auto"/>
        <w:ind w:left="358" w:leftChars="56" w:hanging="240" w:hangingChars="100"/>
        <w:jc w:val="left"/>
        <w:rPr>
          <w:rFonts w:hint="eastAsia" w:ascii="宋体" w:hAnsi="宋体" w:eastAsia="宋体" w:cs="宋体"/>
          <w:color w:val="1F2329"/>
          <w:sz w:val="24"/>
          <w:szCs w:val="24"/>
          <w:highlight w:val="none"/>
        </w:rPr>
      </w:pPr>
      <w:r>
        <w:rPr>
          <w:rStyle w:val="21"/>
          <w:rFonts w:hint="eastAsia" w:ascii="宋体" w:hAnsi="宋体" w:eastAsia="宋体" w:cs="宋体"/>
          <w:b w:val="0"/>
          <w:bCs/>
          <w:color w:val="1F2329"/>
          <w:sz w:val="24"/>
          <w:szCs w:val="24"/>
        </w:rPr>
        <w:t>6、成</w:t>
      </w:r>
      <w:r>
        <w:rPr>
          <w:rStyle w:val="21"/>
          <w:rFonts w:hint="eastAsia" w:ascii="宋体" w:hAnsi="宋体" w:eastAsia="宋体" w:cs="宋体"/>
          <w:b w:val="0"/>
          <w:bCs/>
          <w:color w:val="1F2329"/>
          <w:sz w:val="24"/>
          <w:szCs w:val="24"/>
          <w:highlight w:val="none"/>
        </w:rPr>
        <w:t>果交付</w:t>
      </w:r>
      <w:r>
        <w:rPr>
          <w:rFonts w:hint="eastAsia" w:ascii="宋体" w:hAnsi="宋体" w:eastAsia="宋体" w:cs="宋体"/>
          <w:color w:val="1F2329"/>
          <w:sz w:val="24"/>
          <w:szCs w:val="24"/>
          <w:highlight w:val="none"/>
        </w:rPr>
        <w:t>：交付预查验报告、问题整改台账、查验技术总结等全套服务文档。</w:t>
      </w:r>
    </w:p>
    <w:p w14:paraId="0F164759">
      <w:pPr>
        <w:widowControl/>
        <w:spacing w:line="360" w:lineRule="auto"/>
        <w:ind w:left="358" w:leftChars="56" w:hanging="240" w:hangingChars="100"/>
        <w:jc w:val="left"/>
        <w:rPr>
          <w:rFonts w:hint="eastAsia" w:ascii="宋体" w:hAnsi="宋体" w:eastAsia="宋体" w:cs="宋体"/>
          <w:color w:val="1F2329"/>
          <w:sz w:val="24"/>
          <w:szCs w:val="24"/>
          <w:highlight w:val="none"/>
        </w:rPr>
      </w:pPr>
      <w:r>
        <w:rPr>
          <w:rFonts w:hint="eastAsia" w:ascii="宋体" w:hAnsi="宋体" w:eastAsia="宋体" w:cs="宋体"/>
          <w:color w:val="1F2329"/>
          <w:sz w:val="24"/>
          <w:szCs w:val="24"/>
          <w:highlight w:val="none"/>
          <w:lang w:val="en-US" w:eastAsia="zh-CN"/>
        </w:rPr>
        <w:t>7、消防查验报告时间：合同签订后1个月内。</w:t>
      </w:r>
    </w:p>
    <w:p w14:paraId="0BDC261B">
      <w:pPr>
        <w:pStyle w:val="3"/>
        <w:keepNext w:val="0"/>
        <w:keepLines w:val="0"/>
        <w:widowControl/>
        <w:spacing w:before="0" w:after="0" w:line="360" w:lineRule="auto"/>
        <w:rPr>
          <w:rFonts w:hint="eastAsia" w:ascii="宋体" w:hAnsi="宋体" w:eastAsia="宋体" w:cs="宋体"/>
          <w:b/>
          <w:bCs/>
          <w:color w:val="1F2329"/>
          <w:sz w:val="24"/>
          <w:szCs w:val="24"/>
          <w:highlight w:val="none"/>
        </w:rPr>
      </w:pPr>
      <w:r>
        <w:rPr>
          <w:rFonts w:hint="eastAsia" w:ascii="宋体" w:hAnsi="宋体" w:eastAsia="宋体" w:cs="宋体"/>
          <w:b/>
          <w:bCs/>
          <w:color w:val="1F2329"/>
          <w:sz w:val="24"/>
          <w:szCs w:val="24"/>
          <w:highlight w:val="none"/>
        </w:rPr>
        <w:t>（三）服务标准及要求</w:t>
      </w:r>
    </w:p>
    <w:p w14:paraId="0507A62D">
      <w:pPr>
        <w:widowControl/>
        <w:spacing w:line="360" w:lineRule="auto"/>
        <w:ind w:left="358" w:leftChars="56" w:hanging="240" w:hangingChars="100"/>
        <w:jc w:val="left"/>
        <w:rPr>
          <w:rFonts w:hint="eastAsia" w:ascii="宋体" w:hAnsi="宋体" w:eastAsia="宋体" w:cs="宋体"/>
          <w:color w:val="1F2329"/>
          <w:sz w:val="24"/>
          <w:szCs w:val="24"/>
          <w:highlight w:val="none"/>
        </w:rPr>
      </w:pPr>
      <w:r>
        <w:rPr>
          <w:rFonts w:hint="eastAsia" w:ascii="宋体" w:hAnsi="宋体" w:eastAsia="宋体" w:cs="宋体"/>
          <w:color w:val="1F2329"/>
          <w:sz w:val="24"/>
          <w:szCs w:val="24"/>
          <w:highlight w:val="none"/>
        </w:rPr>
        <w:t>1、所有工作必须符合国家、上海市现行消防法规、规范标准，</w:t>
      </w:r>
      <w:r>
        <w:rPr>
          <w:rFonts w:hint="eastAsia" w:ascii="宋体" w:hAnsi="宋体" w:eastAsia="宋体" w:cs="宋体"/>
          <w:color w:val="1F2329"/>
          <w:sz w:val="24"/>
          <w:szCs w:val="24"/>
          <w:highlight w:val="none"/>
          <w:lang w:val="en-US" w:eastAsia="zh-CN"/>
        </w:rPr>
        <w:t>所出具的查验报告</w:t>
      </w:r>
      <w:r>
        <w:rPr>
          <w:rFonts w:hint="eastAsia" w:ascii="宋体" w:hAnsi="宋体" w:eastAsia="宋体" w:cs="宋体"/>
          <w:color w:val="1F2329"/>
          <w:sz w:val="24"/>
          <w:szCs w:val="24"/>
          <w:highlight w:val="none"/>
        </w:rPr>
        <w:t>满足消防查验主管部门的审查要求。</w:t>
      </w:r>
    </w:p>
    <w:p w14:paraId="6D65F90B">
      <w:pPr>
        <w:widowControl/>
        <w:spacing w:line="360" w:lineRule="auto"/>
        <w:ind w:left="358" w:leftChars="56" w:hanging="240" w:hangingChars="100"/>
        <w:jc w:val="left"/>
        <w:rPr>
          <w:rFonts w:hint="eastAsia" w:ascii="宋体" w:hAnsi="宋体" w:eastAsia="宋体" w:cs="宋体"/>
          <w:color w:val="1F2329"/>
          <w:sz w:val="24"/>
          <w:szCs w:val="24"/>
          <w:highlight w:val="none"/>
        </w:rPr>
      </w:pPr>
      <w:r>
        <w:rPr>
          <w:rFonts w:hint="eastAsia" w:ascii="宋体" w:hAnsi="宋体" w:eastAsia="宋体" w:cs="宋体"/>
          <w:color w:val="1F2329"/>
          <w:sz w:val="24"/>
          <w:szCs w:val="24"/>
          <w:highlight w:val="none"/>
        </w:rPr>
        <w:t>2、服务单位须委派具备消防相关专业能力的技术人员驻场开展工作，人员熟悉上海建设工程消防查验流程。</w:t>
      </w:r>
    </w:p>
    <w:p w14:paraId="51113610">
      <w:pPr>
        <w:widowControl/>
        <w:spacing w:line="360" w:lineRule="auto"/>
        <w:ind w:left="358" w:leftChars="56" w:hanging="240" w:hangingChars="100"/>
        <w:jc w:val="left"/>
        <w:rPr>
          <w:rFonts w:hint="eastAsia" w:ascii="宋体" w:hAnsi="宋体" w:eastAsia="宋体" w:cs="宋体"/>
          <w:color w:val="1F2329"/>
          <w:sz w:val="24"/>
          <w:szCs w:val="24"/>
          <w:highlight w:val="none"/>
        </w:rPr>
      </w:pPr>
      <w:r>
        <w:rPr>
          <w:rFonts w:hint="eastAsia" w:ascii="宋体" w:hAnsi="宋体" w:eastAsia="宋体" w:cs="宋体"/>
          <w:color w:val="1F2329"/>
          <w:sz w:val="24"/>
          <w:szCs w:val="24"/>
          <w:highlight w:val="none"/>
        </w:rPr>
        <w:t>3、服务过程形成完整书面台账，所有问题做到可追溯、可复核，确保所有消防问题闭环。</w:t>
      </w:r>
    </w:p>
    <w:p w14:paraId="60142821">
      <w:pPr>
        <w:widowControl/>
        <w:spacing w:line="360" w:lineRule="auto"/>
        <w:ind w:left="358" w:leftChars="56" w:hanging="240" w:hangingChars="100"/>
        <w:jc w:val="left"/>
        <w:rPr>
          <w:rFonts w:hint="eastAsia" w:ascii="宋体" w:hAnsi="宋体" w:eastAsia="宋体" w:cs="宋体"/>
          <w:color w:val="1F2329"/>
          <w:sz w:val="24"/>
          <w:szCs w:val="24"/>
          <w:highlight w:val="none"/>
        </w:rPr>
      </w:pPr>
      <w:r>
        <w:rPr>
          <w:rFonts w:hint="eastAsia" w:ascii="宋体" w:hAnsi="宋体" w:eastAsia="宋体" w:cs="宋体"/>
          <w:color w:val="1F2329"/>
          <w:sz w:val="24"/>
          <w:szCs w:val="24"/>
          <w:highlight w:val="none"/>
        </w:rPr>
        <w:t>4、全程做好技术对接，协调设计、施工、监理各方，高效推进消防查验工作，保障项目节点。</w:t>
      </w:r>
    </w:p>
    <w:p w14:paraId="1D85C722">
      <w:pPr>
        <w:widowControl/>
        <w:spacing w:line="360" w:lineRule="auto"/>
        <w:ind w:left="358" w:leftChars="56" w:hanging="240" w:hangingChars="100"/>
        <w:jc w:val="left"/>
        <w:rPr>
          <w:rFonts w:hint="eastAsia" w:ascii="宋体" w:hAnsi="宋体" w:eastAsia="宋体" w:cs="宋体"/>
          <w:color w:val="1F2329"/>
          <w:sz w:val="24"/>
          <w:szCs w:val="24"/>
          <w:highlight w:val="none"/>
        </w:rPr>
      </w:pPr>
      <w:r>
        <w:rPr>
          <w:rFonts w:hint="eastAsia" w:ascii="宋体" w:hAnsi="宋体" w:eastAsia="宋体" w:cs="宋体"/>
          <w:color w:val="1F2329"/>
          <w:sz w:val="24"/>
          <w:szCs w:val="24"/>
          <w:highlight w:val="none"/>
        </w:rPr>
        <w:t>5、对项目相关资料、现场信息做好保密管理。</w:t>
      </w:r>
    </w:p>
    <w:p w14:paraId="4F1A9D3C">
      <w:pPr>
        <w:widowControl/>
        <w:spacing w:line="360" w:lineRule="auto"/>
        <w:ind w:left="358" w:leftChars="56" w:hanging="240" w:hangingChars="100"/>
        <w:jc w:val="left"/>
        <w:rPr>
          <w:rFonts w:hint="eastAsia" w:ascii="宋体" w:hAnsi="宋体" w:eastAsia="宋体" w:cs="宋体"/>
          <w:color w:val="1F2329"/>
          <w:sz w:val="24"/>
          <w:szCs w:val="24"/>
          <w:highlight w:val="none"/>
          <w:lang w:val="en-US" w:eastAsia="zh-CN"/>
        </w:rPr>
      </w:pPr>
      <w:r>
        <w:rPr>
          <w:rFonts w:hint="eastAsia" w:ascii="宋体" w:hAnsi="宋体" w:eastAsia="宋体" w:cs="宋体"/>
          <w:color w:val="1F2329"/>
          <w:sz w:val="24"/>
          <w:szCs w:val="24"/>
          <w:highlight w:val="none"/>
          <w:lang w:val="en-US" w:eastAsia="zh-CN"/>
        </w:rPr>
        <w:t>6、需</w:t>
      </w:r>
      <w:r>
        <w:rPr>
          <w:rFonts w:hint="eastAsia" w:ascii="宋体" w:hAnsi="宋体" w:eastAsia="宋体" w:cs="宋体"/>
          <w:color w:val="1F2329"/>
          <w:sz w:val="24"/>
          <w:szCs w:val="24"/>
          <w:highlight w:val="none"/>
        </w:rPr>
        <w:t>配备专职</w:t>
      </w:r>
      <w:r>
        <w:rPr>
          <w:rFonts w:hint="eastAsia" w:ascii="宋体" w:hAnsi="宋体" w:eastAsia="宋体" w:cs="宋体"/>
          <w:color w:val="1F2329"/>
          <w:sz w:val="24"/>
          <w:szCs w:val="24"/>
          <w:highlight w:val="none"/>
          <w:lang w:val="en-US" w:eastAsia="zh-CN"/>
        </w:rPr>
        <w:t>消防工程师及</w:t>
      </w:r>
      <w:r>
        <w:rPr>
          <w:rFonts w:hint="eastAsia" w:ascii="宋体" w:hAnsi="宋体" w:eastAsia="宋体" w:cs="宋体"/>
          <w:color w:val="1F2329"/>
          <w:sz w:val="24"/>
          <w:szCs w:val="24"/>
          <w:highlight w:val="none"/>
        </w:rPr>
        <w:t>消防查验人员</w:t>
      </w:r>
      <w:r>
        <w:rPr>
          <w:rFonts w:hint="eastAsia" w:ascii="宋体" w:hAnsi="宋体" w:eastAsia="宋体" w:cs="宋体"/>
          <w:color w:val="1F2329"/>
          <w:sz w:val="24"/>
          <w:szCs w:val="24"/>
          <w:highlight w:val="none"/>
          <w:lang w:val="en-US" w:eastAsia="zh-CN"/>
        </w:rPr>
        <w:t>。</w:t>
      </w:r>
    </w:p>
    <w:p w14:paraId="2EDF2822">
      <w:pPr>
        <w:widowControl/>
        <w:spacing w:line="360" w:lineRule="auto"/>
        <w:ind w:left="358" w:leftChars="56" w:hanging="240" w:hangingChars="100"/>
        <w:jc w:val="left"/>
        <w:rPr>
          <w:rFonts w:hint="eastAsia" w:ascii="宋体" w:hAnsi="宋体" w:eastAsia="宋体" w:cs="宋体"/>
          <w:color w:val="1F2329"/>
          <w:sz w:val="24"/>
          <w:szCs w:val="24"/>
          <w:highlight w:val="none"/>
          <w:lang w:val="en-US" w:eastAsia="zh-CN"/>
        </w:rPr>
      </w:pPr>
    </w:p>
    <w:p w14:paraId="5E8BC006">
      <w:pPr>
        <w:widowControl/>
        <w:numPr>
          <w:ilvl w:val="0"/>
          <w:numId w:val="1"/>
        </w:numPr>
        <w:spacing w:line="360" w:lineRule="auto"/>
        <w:jc w:val="left"/>
        <w:rPr>
          <w:rFonts w:hint="eastAsia" w:ascii="宋体" w:hAnsi="宋体" w:eastAsia="宋体" w:cs="宋体"/>
          <w:b/>
          <w:bCs/>
          <w:color w:val="000000"/>
          <w:kern w:val="0"/>
          <w:sz w:val="24"/>
          <w:szCs w:val="24"/>
          <w:highlight w:val="none"/>
          <w:lang w:bidi="ar"/>
        </w:rPr>
      </w:pPr>
      <w:r>
        <w:rPr>
          <w:rFonts w:hint="eastAsia" w:ascii="宋体" w:hAnsi="宋体" w:eastAsia="宋体" w:cs="宋体"/>
          <w:b/>
          <w:bCs/>
          <w:color w:val="000000"/>
          <w:kern w:val="0"/>
          <w:sz w:val="24"/>
          <w:szCs w:val="24"/>
          <w:highlight w:val="none"/>
          <w:lang w:bidi="ar"/>
        </w:rPr>
        <w:t>服务期限</w:t>
      </w:r>
    </w:p>
    <w:p w14:paraId="32529F7D">
      <w:pPr>
        <w:widowControl/>
        <w:spacing w:line="360" w:lineRule="auto"/>
        <w:ind w:firstLine="480" w:firstLineChars="200"/>
        <w:jc w:val="left"/>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自合同签订后直至完成合同所有内容的工作。</w:t>
      </w:r>
    </w:p>
    <w:p w14:paraId="083A2E09">
      <w:pPr>
        <w:widowControl/>
        <w:spacing w:line="360" w:lineRule="auto"/>
        <w:ind w:firstLine="480" w:firstLineChars="200"/>
        <w:jc w:val="left"/>
        <w:rPr>
          <w:rFonts w:hint="eastAsia" w:ascii="宋体" w:hAnsi="宋体" w:eastAsia="宋体" w:cs="宋体"/>
          <w:color w:val="000000"/>
          <w:kern w:val="0"/>
          <w:sz w:val="24"/>
          <w:szCs w:val="24"/>
          <w:lang w:bidi="ar"/>
        </w:rPr>
      </w:pPr>
    </w:p>
    <w:p w14:paraId="26BD5B2C">
      <w:pPr>
        <w:widowControl/>
        <w:numPr>
          <w:ilvl w:val="0"/>
          <w:numId w:val="1"/>
        </w:numPr>
        <w:spacing w:line="360" w:lineRule="auto"/>
        <w:jc w:val="left"/>
        <w:rPr>
          <w:rFonts w:hint="eastAsia" w:ascii="宋体" w:hAnsi="宋体" w:eastAsia="宋体" w:cs="宋体"/>
          <w:b/>
          <w:bCs/>
          <w:color w:val="000000"/>
          <w:kern w:val="0"/>
          <w:sz w:val="24"/>
          <w:szCs w:val="24"/>
          <w:lang w:bidi="ar"/>
        </w:rPr>
      </w:pPr>
      <w:bookmarkStart w:id="0" w:name="_Toc531447536"/>
      <w:bookmarkStart w:id="1" w:name="_Toc325979547"/>
      <w:bookmarkStart w:id="2" w:name="_Toc334093665"/>
      <w:r>
        <w:rPr>
          <w:rFonts w:hint="eastAsia" w:ascii="宋体" w:hAnsi="宋体" w:eastAsia="宋体" w:cs="宋体"/>
          <w:b/>
          <w:bCs/>
          <w:color w:val="000000"/>
          <w:kern w:val="0"/>
          <w:sz w:val="24"/>
          <w:szCs w:val="24"/>
          <w:lang w:bidi="ar"/>
        </w:rPr>
        <w:t>相关</w:t>
      </w:r>
      <w:bookmarkEnd w:id="0"/>
      <w:bookmarkEnd w:id="1"/>
      <w:bookmarkEnd w:id="2"/>
      <w:r>
        <w:rPr>
          <w:rFonts w:hint="eastAsia" w:ascii="宋体" w:hAnsi="宋体" w:eastAsia="宋体" w:cs="宋体"/>
          <w:b/>
          <w:bCs/>
          <w:color w:val="000000"/>
          <w:kern w:val="0"/>
          <w:sz w:val="24"/>
          <w:szCs w:val="24"/>
          <w:lang w:bidi="ar"/>
        </w:rPr>
        <w:t>执行标准</w:t>
      </w:r>
    </w:p>
    <w:p w14:paraId="294D020C">
      <w:pPr>
        <w:widowControl/>
        <w:spacing w:line="360" w:lineRule="auto"/>
        <w:ind w:left="239" w:leftChars="114" w:firstLine="480" w:firstLineChars="200"/>
        <w:jc w:val="left"/>
        <w:rPr>
          <w:rFonts w:hint="eastAsia" w:ascii="宋体" w:hAnsi="宋体" w:eastAsia="宋体" w:cs="宋体"/>
          <w:color w:val="1F2329"/>
          <w:sz w:val="24"/>
          <w:szCs w:val="24"/>
        </w:rPr>
      </w:pPr>
      <w:r>
        <w:rPr>
          <w:rFonts w:hint="eastAsia" w:ascii="宋体" w:hAnsi="宋体" w:eastAsia="宋体" w:cs="宋体"/>
          <w:color w:val="1F2329"/>
          <w:kern w:val="0"/>
          <w:sz w:val="24"/>
          <w:szCs w:val="24"/>
          <w:lang w:bidi="ar"/>
        </w:rPr>
        <w:t>本项目消防查验服务，执行现行国家及上海市相关法律、法规、规范、标准（包含但不限于）：</w:t>
      </w:r>
    </w:p>
    <w:p w14:paraId="707B2B2B">
      <w:pPr>
        <w:widowControl/>
        <w:spacing w:line="360" w:lineRule="auto"/>
        <w:ind w:left="-363"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1、《中华人民共和国消防法》</w:t>
      </w:r>
    </w:p>
    <w:p w14:paraId="3CE9608F">
      <w:pPr>
        <w:widowControl/>
        <w:spacing w:line="360" w:lineRule="auto"/>
        <w:ind w:left="-363"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2、《建设工程消防设计审查验收管理暂行规定》（住建部令第 51 号）</w:t>
      </w:r>
    </w:p>
    <w:p w14:paraId="7D1F2166">
      <w:pPr>
        <w:widowControl/>
        <w:spacing w:line="360" w:lineRule="auto"/>
        <w:ind w:left="-363"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3、《建筑设计防火规范》GB 50016</w:t>
      </w:r>
    </w:p>
    <w:p w14:paraId="4713A997">
      <w:pPr>
        <w:widowControl/>
        <w:spacing w:line="360" w:lineRule="auto"/>
        <w:ind w:left="-363"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4、《火灾自动报警系统设计规范》GB 50116</w:t>
      </w:r>
    </w:p>
    <w:p w14:paraId="325190B4">
      <w:pPr>
        <w:widowControl/>
        <w:spacing w:line="360" w:lineRule="auto"/>
        <w:ind w:left="-363"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5、《自动喷水灭火系统设计规范》GB 50084</w:t>
      </w:r>
    </w:p>
    <w:p w14:paraId="23309AD3">
      <w:pPr>
        <w:widowControl/>
        <w:spacing w:line="360" w:lineRule="auto"/>
        <w:ind w:left="-363"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6、《消防给水及消火栓</w:t>
      </w:r>
      <w:bookmarkStart w:id="5" w:name="_GoBack"/>
      <w:bookmarkEnd w:id="5"/>
      <w:r>
        <w:rPr>
          <w:rFonts w:hint="eastAsia" w:ascii="宋体" w:hAnsi="宋体" w:eastAsia="宋体" w:cs="宋体"/>
          <w:color w:val="1F2329"/>
          <w:sz w:val="24"/>
          <w:szCs w:val="24"/>
        </w:rPr>
        <w:t>系统技术规范》GB 50974</w:t>
      </w:r>
    </w:p>
    <w:p w14:paraId="388D16CF">
      <w:pPr>
        <w:widowControl/>
        <w:spacing w:line="360" w:lineRule="auto"/>
        <w:ind w:left="-363"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7、《建筑防烟排烟系统技术标准》GB 51251</w:t>
      </w:r>
    </w:p>
    <w:p w14:paraId="1CDB8177">
      <w:pPr>
        <w:widowControl/>
        <w:spacing w:line="360" w:lineRule="auto"/>
        <w:ind w:left="-363"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8、《建筑内部装修设计防火规范》GB 50222</w:t>
      </w:r>
    </w:p>
    <w:p w14:paraId="78ECBA02">
      <w:pPr>
        <w:widowControl/>
        <w:spacing w:line="360" w:lineRule="auto"/>
        <w:ind w:left="-363"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9、《消防应急照明和疏散指示系统技术标准》GB 51309</w:t>
      </w:r>
    </w:p>
    <w:p w14:paraId="54755421">
      <w:pPr>
        <w:widowControl/>
        <w:spacing w:line="360" w:lineRule="auto"/>
        <w:ind w:left="-363"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10、上海市建设工程消防查验相关管理文件、地方规定；</w:t>
      </w:r>
    </w:p>
    <w:p w14:paraId="400AD3E9">
      <w:pPr>
        <w:widowControl/>
        <w:spacing w:line="206" w:lineRule="atLeast"/>
        <w:ind w:left="-360" w:firstLine="480" w:firstLineChars="200"/>
        <w:jc w:val="left"/>
        <w:rPr>
          <w:rFonts w:hint="eastAsia" w:ascii="宋体" w:hAnsi="宋体" w:eastAsia="宋体" w:cs="宋体"/>
          <w:color w:val="1F2329"/>
          <w:sz w:val="24"/>
          <w:szCs w:val="24"/>
        </w:rPr>
      </w:pPr>
      <w:r>
        <w:rPr>
          <w:rFonts w:hint="eastAsia" w:ascii="宋体" w:hAnsi="宋体" w:eastAsia="宋体" w:cs="宋体"/>
          <w:color w:val="1F2329"/>
          <w:sz w:val="24"/>
          <w:szCs w:val="24"/>
        </w:rPr>
        <w:t>11、本项目经审查合格的消防施工图设计文件。</w:t>
      </w:r>
    </w:p>
    <w:p w14:paraId="5CD5E1FA">
      <w:pPr>
        <w:widowControl/>
        <w:spacing w:line="206" w:lineRule="atLeast"/>
        <w:ind w:left="-360" w:firstLine="480" w:firstLineChars="200"/>
        <w:jc w:val="left"/>
        <w:rPr>
          <w:rFonts w:hint="eastAsia" w:ascii="宋体" w:hAnsi="宋体" w:eastAsia="宋体" w:cs="宋体"/>
          <w:color w:val="1F2329"/>
          <w:sz w:val="24"/>
          <w:szCs w:val="24"/>
        </w:rPr>
      </w:pPr>
    </w:p>
    <w:p w14:paraId="12D94E14">
      <w:pPr>
        <w:widowControl/>
        <w:spacing w:line="360" w:lineRule="auto"/>
        <w:jc w:val="left"/>
        <w:rPr>
          <w:rFonts w:hint="eastAsia" w:ascii="宋体" w:hAnsi="宋体" w:eastAsia="宋体" w:cs="宋体"/>
          <w:b/>
          <w:bCs/>
          <w:color w:val="000000"/>
          <w:kern w:val="0"/>
          <w:sz w:val="28"/>
          <w:szCs w:val="28"/>
          <w:lang w:bidi="ar"/>
        </w:rPr>
      </w:pPr>
    </w:p>
    <w:p w14:paraId="0A8CB97B">
      <w:pPr>
        <w:widowControl/>
        <w:numPr>
          <w:ilvl w:val="0"/>
          <w:numId w:val="1"/>
        </w:numPr>
        <w:spacing w:line="360" w:lineRule="auto"/>
        <w:jc w:val="left"/>
        <w:rPr>
          <w:rFonts w:hint="eastAsia" w:ascii="宋体" w:hAnsi="宋体" w:eastAsia="宋体" w:cs="宋体"/>
          <w:b/>
          <w:bCs/>
          <w:color w:val="000000"/>
          <w:kern w:val="0"/>
          <w:sz w:val="28"/>
          <w:szCs w:val="28"/>
          <w:highlight w:val="none"/>
          <w:lang w:bidi="ar"/>
        </w:rPr>
      </w:pPr>
      <w:bookmarkStart w:id="3" w:name="OLE_LINK11"/>
      <w:r>
        <w:rPr>
          <w:rFonts w:hint="eastAsia" w:ascii="宋体" w:hAnsi="宋体" w:eastAsia="宋体" w:cs="宋体"/>
          <w:b/>
          <w:bCs/>
          <w:color w:val="000000"/>
          <w:kern w:val="0"/>
          <w:sz w:val="28"/>
          <w:szCs w:val="28"/>
          <w:lang w:bidi="ar"/>
        </w:rPr>
        <w:t>供</w:t>
      </w:r>
      <w:r>
        <w:rPr>
          <w:rFonts w:hint="eastAsia" w:ascii="宋体" w:hAnsi="宋体" w:eastAsia="宋体" w:cs="宋体"/>
          <w:b/>
          <w:bCs/>
          <w:color w:val="000000"/>
          <w:kern w:val="0"/>
          <w:sz w:val="28"/>
          <w:szCs w:val="28"/>
          <w:highlight w:val="none"/>
          <w:lang w:bidi="ar"/>
        </w:rPr>
        <w:t xml:space="preserve">应商资格要求 </w:t>
      </w:r>
    </w:p>
    <w:p w14:paraId="357929F0">
      <w:pPr>
        <w:spacing w:line="360" w:lineRule="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1、需通过质量管理体系认证的消防技术服务机构开展消防查验。供应商具备符合DB31/T1380-2022《社会消防技术服务机构质量管理要求》的CQC认证证书。</w:t>
      </w:r>
    </w:p>
    <w:p w14:paraId="4863D2DC">
      <w:pPr>
        <w:spacing w:line="360" w:lineRule="auto"/>
        <w:rPr>
          <w:rFonts w:hint="eastAsia" w:ascii="宋体" w:hAnsi="宋体" w:eastAsia="宋体" w:cs="宋体"/>
          <w:sz w:val="24"/>
          <w:highlight w:val="none"/>
        </w:rPr>
      </w:pPr>
      <w:r>
        <w:rPr>
          <w:rFonts w:hint="eastAsia" w:ascii="宋体" w:hAnsi="宋体" w:eastAsia="宋体" w:cs="宋体"/>
          <w:color w:val="000000"/>
          <w:kern w:val="0"/>
          <w:sz w:val="24"/>
          <w:szCs w:val="24"/>
          <w:highlight w:val="none"/>
          <w:lang w:val="en-US" w:eastAsia="zh-CN" w:bidi="ar"/>
        </w:rPr>
        <w:t>2、</w:t>
      </w:r>
      <w:r>
        <w:rPr>
          <w:rFonts w:hint="eastAsia" w:ascii="宋体" w:hAnsi="宋体" w:eastAsia="宋体" w:cs="宋体"/>
          <w:sz w:val="24"/>
          <w:highlight w:val="none"/>
        </w:rPr>
        <w:t>具有独立企业法人资格，具有相应经营范围且在有效期内的营业执照。</w:t>
      </w:r>
    </w:p>
    <w:p w14:paraId="389D1E29">
      <w:pPr>
        <w:spacing w:line="360" w:lineRule="auto"/>
        <w:rPr>
          <w:rFonts w:hint="eastAsia" w:ascii="宋体" w:hAnsi="宋体" w:eastAsia="宋体" w:cs="宋体"/>
          <w:sz w:val="24"/>
          <w:highlight w:val="none"/>
        </w:rPr>
      </w:pPr>
      <w:r>
        <w:rPr>
          <w:rFonts w:hint="eastAsia" w:ascii="宋体" w:hAnsi="宋体" w:eastAsia="宋体" w:cs="宋体"/>
          <w:color w:val="000000"/>
          <w:kern w:val="0"/>
          <w:sz w:val="24"/>
          <w:szCs w:val="24"/>
          <w:highlight w:val="none"/>
          <w:lang w:val="en-US" w:eastAsia="zh-CN" w:bidi="ar"/>
        </w:rPr>
        <w:t>3</w:t>
      </w:r>
      <w:r>
        <w:rPr>
          <w:rFonts w:hint="eastAsia" w:ascii="宋体" w:hAnsi="宋体" w:eastAsia="宋体" w:cs="宋体"/>
          <w:color w:val="000000"/>
          <w:kern w:val="0"/>
          <w:sz w:val="24"/>
          <w:szCs w:val="24"/>
          <w:highlight w:val="none"/>
          <w:lang w:bidi="ar"/>
        </w:rPr>
        <w:t>、</w:t>
      </w:r>
      <w:r>
        <w:rPr>
          <w:rFonts w:hint="eastAsia" w:ascii="宋体" w:hAnsi="宋体" w:eastAsia="宋体" w:cs="宋体"/>
          <w:sz w:val="24"/>
          <w:highlight w:val="none"/>
        </w:rPr>
        <w:t>本项目不接受联合体报名，禁止转包、分包。</w:t>
      </w:r>
    </w:p>
    <w:p w14:paraId="75446B44">
      <w:pPr>
        <w:spacing w:line="360" w:lineRule="auto"/>
        <w:rPr>
          <w:rFonts w:hint="eastAsia" w:ascii="宋体" w:hAnsi="宋体" w:eastAsia="宋体" w:cs="宋体"/>
          <w:sz w:val="24"/>
        </w:rPr>
      </w:pPr>
      <w:r>
        <w:rPr>
          <w:rFonts w:hint="eastAsia" w:ascii="宋体" w:hAnsi="宋体" w:eastAsia="宋体" w:cs="宋体"/>
          <w:color w:val="000000"/>
          <w:kern w:val="0"/>
          <w:sz w:val="24"/>
          <w:szCs w:val="24"/>
          <w:highlight w:val="none"/>
          <w:lang w:val="en-US" w:eastAsia="zh-CN" w:bidi="ar"/>
        </w:rPr>
        <w:t>4</w:t>
      </w:r>
      <w:r>
        <w:rPr>
          <w:rFonts w:hint="eastAsia" w:ascii="宋体" w:hAnsi="宋体" w:eastAsia="宋体" w:cs="宋体"/>
          <w:color w:val="000000"/>
          <w:kern w:val="0"/>
          <w:sz w:val="24"/>
          <w:szCs w:val="24"/>
          <w:highlight w:val="none"/>
          <w:lang w:bidi="ar"/>
        </w:rPr>
        <w:t>、</w:t>
      </w:r>
      <w:r>
        <w:rPr>
          <w:rFonts w:hint="eastAsia" w:ascii="宋体" w:hAnsi="宋体" w:eastAsia="宋体" w:cs="宋体"/>
          <w:sz w:val="24"/>
          <w:highlight w:val="none"/>
        </w:rPr>
        <w:t>单位负责人为同一人或存在直接控</w:t>
      </w:r>
      <w:r>
        <w:rPr>
          <w:rFonts w:hint="eastAsia" w:ascii="宋体" w:hAnsi="宋体" w:eastAsia="宋体" w:cs="宋体"/>
          <w:sz w:val="24"/>
        </w:rPr>
        <w:t>股、管理关系的不同供应商，不得参加同一合同项下的采购活动。</w:t>
      </w:r>
      <w:bookmarkEnd w:id="3"/>
      <w:bookmarkStart w:id="4" w:name="_Toc531447556"/>
    </w:p>
    <w:p w14:paraId="776F382D">
      <w:pPr>
        <w:spacing w:line="360" w:lineRule="auto"/>
        <w:rPr>
          <w:rFonts w:hint="eastAsia" w:ascii="宋体" w:hAnsi="宋体" w:eastAsia="宋体" w:cs="宋体"/>
          <w:sz w:val="24"/>
        </w:rPr>
      </w:pPr>
    </w:p>
    <w:bookmarkEnd w:id="4"/>
    <w:p w14:paraId="5CD3FD66">
      <w:pPr>
        <w:widowControl/>
        <w:numPr>
          <w:ilvl w:val="0"/>
          <w:numId w:val="1"/>
        </w:numPr>
        <w:spacing w:line="360" w:lineRule="auto"/>
        <w:jc w:val="left"/>
        <w:rPr>
          <w:rFonts w:hint="eastAsia" w:ascii="宋体" w:hAnsi="宋体" w:eastAsia="宋体" w:cs="宋体"/>
          <w:b/>
          <w:bCs/>
          <w:color w:val="000000"/>
          <w:sz w:val="28"/>
          <w:szCs w:val="28"/>
          <w:lang w:bidi="ar"/>
        </w:rPr>
      </w:pPr>
      <w:r>
        <w:rPr>
          <w:rFonts w:hint="eastAsia" w:ascii="宋体" w:hAnsi="宋体" w:eastAsia="宋体" w:cs="宋体"/>
          <w:b/>
          <w:bCs/>
          <w:color w:val="000000"/>
          <w:sz w:val="28"/>
          <w:szCs w:val="28"/>
          <w:lang w:bidi="ar"/>
        </w:rPr>
        <w:t>商务评审：（0分至30分）</w:t>
      </w:r>
    </w:p>
    <w:tbl>
      <w:tblPr>
        <w:tblStyle w:val="18"/>
        <w:tblW w:w="9383" w:type="dxa"/>
        <w:tblInd w:w="-389"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114" w:type="dxa"/>
          <w:left w:w="115" w:type="dxa"/>
          <w:bottom w:w="0" w:type="dxa"/>
          <w:right w:w="115" w:type="dxa"/>
        </w:tblCellMar>
      </w:tblPr>
      <w:tblGrid>
        <w:gridCol w:w="1917"/>
        <w:gridCol w:w="6200"/>
        <w:gridCol w:w="1266"/>
      </w:tblGrid>
      <w:tr w14:paraId="07ABD6F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114" w:type="dxa"/>
            <w:left w:w="115" w:type="dxa"/>
            <w:bottom w:w="0" w:type="dxa"/>
            <w:right w:w="115" w:type="dxa"/>
          </w:tblCellMar>
        </w:tblPrEx>
        <w:trPr>
          <w:tblHeader/>
        </w:trPr>
        <w:tc>
          <w:tcPr>
            <w:tcW w:w="1917" w:type="dxa"/>
            <w:vAlign w:val="center"/>
          </w:tcPr>
          <w:p w14:paraId="4BAD08E5">
            <w:pPr>
              <w:jc w:val="center"/>
              <w:rPr>
                <w:rFonts w:hint="eastAsia" w:ascii="宋体" w:hAnsi="宋体" w:eastAsia="宋体" w:cs="宋体"/>
                <w:lang w:eastAsia="en-US" w:bidi="en-US"/>
              </w:rPr>
            </w:pPr>
            <w:r>
              <w:rPr>
                <w:rFonts w:hint="eastAsia" w:ascii="宋体" w:hAnsi="宋体" w:eastAsia="宋体" w:cs="宋体"/>
                <w:lang w:eastAsia="en-US" w:bidi="en-US"/>
              </w:rPr>
              <w:fldChar w:fldCharType="begin"/>
            </w:r>
            <w:r>
              <w:rPr>
                <w:rFonts w:hint="eastAsia" w:ascii="宋体" w:hAnsi="宋体" w:eastAsia="宋体" w:cs="宋体"/>
                <w:lang w:eastAsia="en-US" w:bidi="en-US"/>
              </w:rPr>
              <w:instrText xml:space="preserve"> MERGEFIELD MF_TB </w:instrText>
            </w:r>
            <w:r>
              <w:rPr>
                <w:rFonts w:hint="eastAsia" w:ascii="宋体" w:hAnsi="宋体" w:eastAsia="宋体" w:cs="宋体"/>
                <w:lang w:eastAsia="en-US" w:bidi="en-US"/>
              </w:rPr>
              <w:fldChar w:fldCharType="separate"/>
            </w:r>
            <w:r>
              <w:rPr>
                <w:rFonts w:hint="eastAsia" w:ascii="宋体" w:hAnsi="宋体" w:eastAsia="宋体" w:cs="宋体"/>
                <w:lang w:eastAsia="en-US" w:bidi="en-US"/>
              </w:rPr>
              <w:t>评审因素</w:t>
            </w:r>
            <w:r>
              <w:rPr>
                <w:rFonts w:hint="eastAsia" w:ascii="宋体" w:hAnsi="宋体" w:eastAsia="宋体" w:cs="宋体"/>
                <w:lang w:eastAsia="en-US" w:bidi="en-US"/>
              </w:rPr>
              <w:fldChar w:fldCharType="end"/>
            </w:r>
          </w:p>
        </w:tc>
        <w:tc>
          <w:tcPr>
            <w:tcW w:w="6200" w:type="dxa"/>
            <w:vAlign w:val="center"/>
          </w:tcPr>
          <w:p w14:paraId="483B2709">
            <w:pPr>
              <w:jc w:val="center"/>
              <w:rPr>
                <w:rFonts w:hint="eastAsia" w:ascii="宋体" w:hAnsi="宋体" w:eastAsia="宋体" w:cs="宋体"/>
                <w:lang w:eastAsia="en-US" w:bidi="en-US"/>
              </w:rPr>
            </w:pPr>
            <w:r>
              <w:rPr>
                <w:rFonts w:hint="eastAsia" w:ascii="宋体" w:hAnsi="宋体" w:eastAsia="宋体" w:cs="宋体"/>
                <w:lang w:eastAsia="en-US" w:bidi="en-US"/>
              </w:rPr>
              <w:fldChar w:fldCharType="begin"/>
            </w:r>
            <w:r>
              <w:rPr>
                <w:rFonts w:hint="eastAsia" w:ascii="宋体" w:hAnsi="宋体" w:eastAsia="宋体" w:cs="宋体"/>
                <w:lang w:eastAsia="en-US" w:bidi="en-US"/>
              </w:rPr>
              <w:instrText xml:space="preserve"> MERGEFIELD MF_TB </w:instrText>
            </w:r>
            <w:r>
              <w:rPr>
                <w:rFonts w:hint="eastAsia" w:ascii="宋体" w:hAnsi="宋体" w:eastAsia="宋体" w:cs="宋体"/>
                <w:lang w:eastAsia="en-US" w:bidi="en-US"/>
              </w:rPr>
              <w:fldChar w:fldCharType="separate"/>
            </w:r>
            <w:r>
              <w:rPr>
                <w:rFonts w:hint="eastAsia" w:ascii="宋体" w:hAnsi="宋体" w:eastAsia="宋体" w:cs="宋体"/>
                <w:lang w:eastAsia="en-US" w:bidi="en-US"/>
              </w:rPr>
              <w:t>评审因素细分项</w:t>
            </w:r>
            <w:r>
              <w:rPr>
                <w:rFonts w:hint="eastAsia" w:ascii="宋体" w:hAnsi="宋体" w:eastAsia="宋体" w:cs="宋体"/>
                <w:lang w:eastAsia="en-US" w:bidi="en-US"/>
              </w:rPr>
              <w:fldChar w:fldCharType="end"/>
            </w:r>
          </w:p>
        </w:tc>
        <w:tc>
          <w:tcPr>
            <w:tcW w:w="1266" w:type="dxa"/>
            <w:vAlign w:val="center"/>
          </w:tcPr>
          <w:p w14:paraId="2055690D">
            <w:pPr>
              <w:jc w:val="center"/>
              <w:rPr>
                <w:rFonts w:hint="eastAsia" w:ascii="宋体" w:hAnsi="宋体" w:eastAsia="宋体" w:cs="宋体"/>
                <w:lang w:eastAsia="en-US" w:bidi="en-US"/>
              </w:rPr>
            </w:pPr>
            <w:r>
              <w:rPr>
                <w:rFonts w:hint="eastAsia" w:ascii="宋体" w:hAnsi="宋体" w:eastAsia="宋体" w:cs="宋体"/>
                <w:lang w:eastAsia="en-US" w:bidi="en-US"/>
              </w:rPr>
              <w:fldChar w:fldCharType="begin"/>
            </w:r>
            <w:r>
              <w:rPr>
                <w:rFonts w:hint="eastAsia" w:ascii="宋体" w:hAnsi="宋体" w:eastAsia="宋体" w:cs="宋体"/>
                <w:lang w:eastAsia="en-US" w:bidi="en-US"/>
              </w:rPr>
              <w:instrText xml:space="preserve"> MERGEFIELD MF_TB </w:instrText>
            </w:r>
            <w:r>
              <w:rPr>
                <w:rFonts w:hint="eastAsia" w:ascii="宋体" w:hAnsi="宋体" w:eastAsia="宋体" w:cs="宋体"/>
                <w:lang w:eastAsia="en-US" w:bidi="en-US"/>
              </w:rPr>
              <w:fldChar w:fldCharType="separate"/>
            </w:r>
            <w:r>
              <w:rPr>
                <w:rFonts w:hint="eastAsia" w:ascii="宋体" w:hAnsi="宋体" w:eastAsia="宋体" w:cs="宋体"/>
                <w:lang w:eastAsia="en-US" w:bidi="en-US"/>
              </w:rPr>
              <w:t>分值区间</w:t>
            </w:r>
            <w:r>
              <w:rPr>
                <w:rFonts w:hint="eastAsia" w:ascii="宋体" w:hAnsi="宋体" w:eastAsia="宋体" w:cs="宋体"/>
                <w:lang w:eastAsia="en-US" w:bidi="en-US"/>
              </w:rPr>
              <w:fldChar w:fldCharType="end"/>
            </w:r>
          </w:p>
        </w:tc>
      </w:tr>
      <w:tr w14:paraId="5ADACD5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114" w:type="dxa"/>
            <w:left w:w="115" w:type="dxa"/>
            <w:bottom w:w="0" w:type="dxa"/>
            <w:right w:w="115" w:type="dxa"/>
          </w:tblCellMar>
        </w:tblPrEx>
        <w:tc>
          <w:tcPr>
            <w:tcW w:w="1917" w:type="dxa"/>
            <w:vAlign w:val="center"/>
          </w:tcPr>
          <w:p w14:paraId="666280E5">
            <w:pPr>
              <w:jc w:val="center"/>
              <w:rPr>
                <w:rFonts w:hint="eastAsia" w:ascii="宋体" w:hAnsi="宋体" w:eastAsia="宋体" w:cs="宋体"/>
                <w:lang w:eastAsia="en-US" w:bidi="en-US"/>
              </w:rPr>
            </w:pPr>
            <w:r>
              <w:rPr>
                <w:rFonts w:hint="eastAsia" w:ascii="宋体" w:hAnsi="宋体" w:eastAsia="宋体" w:cs="宋体"/>
                <w:lang w:eastAsia="en-US" w:bidi="en-US"/>
              </w:rPr>
              <w:t>商务标评审</w:t>
            </w:r>
          </w:p>
        </w:tc>
        <w:tc>
          <w:tcPr>
            <w:tcW w:w="6200" w:type="dxa"/>
            <w:vAlign w:val="center"/>
          </w:tcPr>
          <w:p w14:paraId="6BF7AFC0">
            <w:pPr>
              <w:rPr>
                <w:rFonts w:hint="eastAsia" w:ascii="宋体" w:hAnsi="宋体" w:eastAsia="宋体" w:cs="宋体"/>
                <w:lang w:bidi="en-US"/>
              </w:rPr>
            </w:pPr>
            <w:r>
              <w:rPr>
                <w:rFonts w:hint="eastAsia" w:ascii="宋体" w:hAnsi="宋体" w:eastAsia="宋体" w:cs="宋体"/>
                <w:szCs w:val="21"/>
              </w:rPr>
              <w:t>满足比选文件要求且比选价格最低的比选报价为基准价，其价格分为满分30分。其他比选人的比选报价得分计算公式如下：比选报价得分=(评标基准价／比选报价)×价格权值×100。</w:t>
            </w:r>
          </w:p>
        </w:tc>
        <w:tc>
          <w:tcPr>
            <w:tcW w:w="1266" w:type="dxa"/>
            <w:vAlign w:val="center"/>
          </w:tcPr>
          <w:p w14:paraId="181E3B6F">
            <w:pPr>
              <w:jc w:val="center"/>
              <w:rPr>
                <w:rFonts w:hint="eastAsia" w:ascii="宋体" w:hAnsi="宋体" w:eastAsia="宋体" w:cs="宋体"/>
                <w:lang w:eastAsia="en-US" w:bidi="en-US"/>
              </w:rPr>
            </w:pPr>
            <w:r>
              <w:rPr>
                <w:rFonts w:hint="eastAsia" w:ascii="宋体" w:hAnsi="宋体" w:eastAsia="宋体" w:cs="宋体"/>
                <w:lang w:bidi="en-US"/>
              </w:rPr>
              <w:t>0-30</w:t>
            </w:r>
            <w:r>
              <w:rPr>
                <w:rFonts w:hint="eastAsia" w:ascii="宋体" w:hAnsi="宋体" w:eastAsia="宋体" w:cs="宋体"/>
                <w:lang w:eastAsia="en-US" w:bidi="en-US"/>
              </w:rPr>
              <w:t>分</w:t>
            </w:r>
          </w:p>
        </w:tc>
      </w:tr>
    </w:tbl>
    <w:p w14:paraId="17046F67">
      <w:pPr>
        <w:tabs>
          <w:tab w:val="left" w:pos="7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hint="eastAsia" w:ascii="宋体" w:hAnsi="宋体" w:eastAsia="宋体" w:cs="宋体"/>
          <w:b/>
          <w:lang w:eastAsia="en-US" w:bidi="en-US"/>
        </w:rPr>
      </w:pPr>
    </w:p>
    <w:p w14:paraId="2032925E">
      <w:pPr>
        <w:widowControl/>
        <w:numPr>
          <w:ilvl w:val="0"/>
          <w:numId w:val="1"/>
        </w:numPr>
        <w:spacing w:line="360" w:lineRule="auto"/>
        <w:jc w:val="left"/>
        <w:rPr>
          <w:rFonts w:hint="eastAsia" w:ascii="宋体" w:hAnsi="宋体" w:eastAsia="宋体" w:cs="宋体"/>
          <w:b/>
          <w:bCs/>
          <w:color w:val="000000"/>
          <w:sz w:val="28"/>
          <w:szCs w:val="28"/>
          <w:lang w:bidi="ar"/>
        </w:rPr>
      </w:pPr>
      <w:r>
        <w:rPr>
          <w:rFonts w:hint="eastAsia" w:ascii="宋体" w:hAnsi="宋体" w:eastAsia="宋体" w:cs="宋体"/>
          <w:b/>
          <w:bCs/>
          <w:color w:val="000000"/>
          <w:sz w:val="28"/>
          <w:szCs w:val="28"/>
          <w:lang w:bidi="ar"/>
        </w:rPr>
        <w:t>技术标评审（0分至70分）</w:t>
      </w:r>
    </w:p>
    <w:tbl>
      <w:tblPr>
        <w:tblStyle w:val="18"/>
        <w:tblW w:w="9417" w:type="dxa"/>
        <w:tblInd w:w="-389"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114" w:type="dxa"/>
          <w:left w:w="115" w:type="dxa"/>
          <w:bottom w:w="0" w:type="dxa"/>
          <w:right w:w="115" w:type="dxa"/>
        </w:tblCellMar>
      </w:tblPr>
      <w:tblGrid>
        <w:gridCol w:w="1883"/>
        <w:gridCol w:w="6200"/>
        <w:gridCol w:w="1334"/>
      </w:tblGrid>
      <w:tr w14:paraId="34D561E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114" w:type="dxa"/>
            <w:left w:w="115" w:type="dxa"/>
            <w:bottom w:w="0" w:type="dxa"/>
            <w:right w:w="115" w:type="dxa"/>
          </w:tblCellMar>
        </w:tblPrEx>
        <w:trPr>
          <w:tblHeader/>
        </w:trPr>
        <w:tc>
          <w:tcPr>
            <w:tcW w:w="1883" w:type="dxa"/>
            <w:vAlign w:val="center"/>
          </w:tcPr>
          <w:p w14:paraId="4F25F2B8">
            <w:pPr>
              <w:jc w:val="center"/>
              <w:rPr>
                <w:rFonts w:hint="eastAsia" w:ascii="宋体" w:hAnsi="宋体" w:eastAsia="宋体" w:cs="宋体"/>
                <w:lang w:eastAsia="en-US" w:bidi="en-US"/>
              </w:rPr>
            </w:pPr>
            <w:r>
              <w:rPr>
                <w:rFonts w:hint="eastAsia" w:ascii="宋体" w:hAnsi="宋体" w:eastAsia="宋体" w:cs="宋体"/>
                <w:lang w:eastAsia="en-US" w:bidi="en-US"/>
              </w:rPr>
              <w:fldChar w:fldCharType="begin"/>
            </w:r>
            <w:r>
              <w:rPr>
                <w:rFonts w:hint="eastAsia" w:ascii="宋体" w:hAnsi="宋体" w:eastAsia="宋体" w:cs="宋体"/>
                <w:lang w:eastAsia="en-US" w:bidi="en-US"/>
              </w:rPr>
              <w:instrText xml:space="preserve"> MERGEFIELD MF_TB </w:instrText>
            </w:r>
            <w:r>
              <w:rPr>
                <w:rFonts w:hint="eastAsia" w:ascii="宋体" w:hAnsi="宋体" w:eastAsia="宋体" w:cs="宋体"/>
                <w:lang w:eastAsia="en-US" w:bidi="en-US"/>
              </w:rPr>
              <w:fldChar w:fldCharType="separate"/>
            </w:r>
            <w:r>
              <w:rPr>
                <w:rFonts w:hint="eastAsia" w:ascii="宋体" w:hAnsi="宋体" w:eastAsia="宋体" w:cs="宋体"/>
                <w:lang w:eastAsia="en-US" w:bidi="en-US"/>
              </w:rPr>
              <w:t>评审因素</w:t>
            </w:r>
            <w:r>
              <w:rPr>
                <w:rFonts w:hint="eastAsia" w:ascii="宋体" w:hAnsi="宋体" w:eastAsia="宋体" w:cs="宋体"/>
                <w:lang w:eastAsia="en-US" w:bidi="en-US"/>
              </w:rPr>
              <w:fldChar w:fldCharType="end"/>
            </w:r>
          </w:p>
        </w:tc>
        <w:tc>
          <w:tcPr>
            <w:tcW w:w="6200" w:type="dxa"/>
            <w:vAlign w:val="center"/>
          </w:tcPr>
          <w:p w14:paraId="7DDD5D20">
            <w:pPr>
              <w:jc w:val="center"/>
              <w:rPr>
                <w:rFonts w:hint="eastAsia" w:ascii="宋体" w:hAnsi="宋体" w:eastAsia="宋体" w:cs="宋体"/>
                <w:lang w:eastAsia="en-US" w:bidi="en-US"/>
              </w:rPr>
            </w:pPr>
            <w:r>
              <w:rPr>
                <w:rFonts w:hint="eastAsia" w:ascii="宋体" w:hAnsi="宋体" w:eastAsia="宋体" w:cs="宋体"/>
                <w:lang w:eastAsia="en-US" w:bidi="en-US"/>
              </w:rPr>
              <w:fldChar w:fldCharType="begin"/>
            </w:r>
            <w:r>
              <w:rPr>
                <w:rFonts w:hint="eastAsia" w:ascii="宋体" w:hAnsi="宋体" w:eastAsia="宋体" w:cs="宋体"/>
                <w:lang w:eastAsia="en-US" w:bidi="en-US"/>
              </w:rPr>
              <w:instrText xml:space="preserve"> MERGEFIELD MF_TB </w:instrText>
            </w:r>
            <w:r>
              <w:rPr>
                <w:rFonts w:hint="eastAsia" w:ascii="宋体" w:hAnsi="宋体" w:eastAsia="宋体" w:cs="宋体"/>
                <w:lang w:eastAsia="en-US" w:bidi="en-US"/>
              </w:rPr>
              <w:fldChar w:fldCharType="separate"/>
            </w:r>
            <w:r>
              <w:rPr>
                <w:rFonts w:hint="eastAsia" w:ascii="宋体" w:hAnsi="宋体" w:eastAsia="宋体" w:cs="宋体"/>
                <w:lang w:eastAsia="en-US" w:bidi="en-US"/>
              </w:rPr>
              <w:t>评审因素细分项</w:t>
            </w:r>
            <w:r>
              <w:rPr>
                <w:rFonts w:hint="eastAsia" w:ascii="宋体" w:hAnsi="宋体" w:eastAsia="宋体" w:cs="宋体"/>
                <w:lang w:eastAsia="en-US" w:bidi="en-US"/>
              </w:rPr>
              <w:fldChar w:fldCharType="end"/>
            </w:r>
          </w:p>
        </w:tc>
        <w:tc>
          <w:tcPr>
            <w:tcW w:w="1334" w:type="dxa"/>
            <w:vAlign w:val="center"/>
          </w:tcPr>
          <w:p w14:paraId="304A7E20">
            <w:pPr>
              <w:jc w:val="center"/>
              <w:rPr>
                <w:rFonts w:hint="eastAsia" w:ascii="宋体" w:hAnsi="宋体" w:eastAsia="宋体" w:cs="宋体"/>
                <w:lang w:eastAsia="en-US" w:bidi="en-US"/>
              </w:rPr>
            </w:pPr>
            <w:r>
              <w:rPr>
                <w:rFonts w:hint="eastAsia" w:ascii="宋体" w:hAnsi="宋体" w:eastAsia="宋体" w:cs="宋体"/>
                <w:lang w:eastAsia="en-US" w:bidi="en-US"/>
              </w:rPr>
              <w:fldChar w:fldCharType="begin"/>
            </w:r>
            <w:r>
              <w:rPr>
                <w:rFonts w:hint="eastAsia" w:ascii="宋体" w:hAnsi="宋体" w:eastAsia="宋体" w:cs="宋体"/>
                <w:lang w:eastAsia="en-US" w:bidi="en-US"/>
              </w:rPr>
              <w:instrText xml:space="preserve"> MERGEFIELD MF_TB </w:instrText>
            </w:r>
            <w:r>
              <w:rPr>
                <w:rFonts w:hint="eastAsia" w:ascii="宋体" w:hAnsi="宋体" w:eastAsia="宋体" w:cs="宋体"/>
                <w:lang w:eastAsia="en-US" w:bidi="en-US"/>
              </w:rPr>
              <w:fldChar w:fldCharType="separate"/>
            </w:r>
            <w:r>
              <w:rPr>
                <w:rFonts w:hint="eastAsia" w:ascii="宋体" w:hAnsi="宋体" w:eastAsia="宋体" w:cs="宋体"/>
                <w:lang w:eastAsia="en-US" w:bidi="en-US"/>
              </w:rPr>
              <w:t>分值区间</w:t>
            </w:r>
            <w:r>
              <w:rPr>
                <w:rFonts w:hint="eastAsia" w:ascii="宋体" w:hAnsi="宋体" w:eastAsia="宋体" w:cs="宋体"/>
                <w:lang w:eastAsia="en-US" w:bidi="en-US"/>
              </w:rPr>
              <w:fldChar w:fldCharType="end"/>
            </w:r>
          </w:p>
        </w:tc>
      </w:tr>
      <w:tr w14:paraId="22C51C7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114" w:type="dxa"/>
            <w:left w:w="115" w:type="dxa"/>
            <w:bottom w:w="0" w:type="dxa"/>
            <w:right w:w="115" w:type="dxa"/>
          </w:tblCellMar>
        </w:tblPrEx>
        <w:trPr>
          <w:trHeight w:val="847" w:hRule="atLeast"/>
        </w:trPr>
        <w:tc>
          <w:tcPr>
            <w:tcW w:w="1883" w:type="dxa"/>
            <w:vMerge w:val="restart"/>
            <w:vAlign w:val="center"/>
          </w:tcPr>
          <w:p w14:paraId="79189674">
            <w:pPr>
              <w:jc w:val="center"/>
              <w:rPr>
                <w:rFonts w:hint="eastAsia" w:ascii="宋体" w:hAnsi="宋体" w:eastAsia="宋体" w:cs="宋体"/>
                <w:lang w:eastAsia="en-US" w:bidi="en-US"/>
              </w:rPr>
            </w:pPr>
            <w:r>
              <w:rPr>
                <w:rFonts w:hint="eastAsia" w:ascii="宋体" w:hAnsi="宋体" w:eastAsia="宋体" w:cs="宋体"/>
                <w:lang w:eastAsia="en-US" w:bidi="en-US"/>
              </w:rPr>
              <w:t>技术标评审</w:t>
            </w:r>
          </w:p>
        </w:tc>
        <w:tc>
          <w:tcPr>
            <w:tcW w:w="6200" w:type="dxa"/>
            <w:vAlign w:val="center"/>
          </w:tcPr>
          <w:p w14:paraId="21608F46">
            <w:pPr>
              <w:pStyle w:val="11"/>
              <w:rPr>
                <w:rFonts w:hint="eastAsia" w:ascii="宋体" w:hAnsi="宋体" w:eastAsia="宋体" w:cs="宋体"/>
                <w:lang w:bidi="en-US"/>
              </w:rPr>
            </w:pPr>
            <w:r>
              <w:rPr>
                <w:rFonts w:hint="eastAsia" w:ascii="宋体" w:hAnsi="宋体" w:eastAsia="宋体" w:cs="宋体"/>
              </w:rPr>
              <w:t>服务方案编制要求符合可靠、经济原则（方案完整规范、针对性强、满足项目消防查验验收需求的得8~10分，基本完整、满足验收需求的得4~7分，未提供或内容较不完善的得0~3分。服务设备满足查验需求的得4~5分，未提供或内容较不完善的得0~3分。）</w:t>
            </w:r>
          </w:p>
        </w:tc>
        <w:tc>
          <w:tcPr>
            <w:tcW w:w="1334" w:type="dxa"/>
            <w:vAlign w:val="center"/>
          </w:tcPr>
          <w:p w14:paraId="1B3A330C">
            <w:pPr>
              <w:jc w:val="center"/>
              <w:rPr>
                <w:rFonts w:hint="eastAsia" w:ascii="宋体" w:hAnsi="宋体" w:eastAsia="宋体" w:cs="宋体"/>
                <w:lang w:eastAsia="en-US" w:bidi="en-US"/>
              </w:rPr>
            </w:pPr>
            <w:r>
              <w:rPr>
                <w:rFonts w:hint="eastAsia" w:ascii="宋体" w:hAnsi="宋体" w:eastAsia="宋体" w:cs="宋体"/>
                <w:lang w:bidi="en-US"/>
              </w:rPr>
              <w:t>0-15</w:t>
            </w:r>
            <w:r>
              <w:rPr>
                <w:rFonts w:hint="eastAsia" w:ascii="宋体" w:hAnsi="宋体" w:eastAsia="宋体" w:cs="宋体"/>
                <w:lang w:eastAsia="en-US" w:bidi="en-US"/>
              </w:rPr>
              <w:t>分</w:t>
            </w:r>
          </w:p>
        </w:tc>
      </w:tr>
      <w:tr w14:paraId="1A47DEC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114" w:type="dxa"/>
            <w:left w:w="115" w:type="dxa"/>
            <w:bottom w:w="0" w:type="dxa"/>
            <w:right w:w="115" w:type="dxa"/>
          </w:tblCellMar>
        </w:tblPrEx>
        <w:trPr>
          <w:trHeight w:val="589" w:hRule="atLeast"/>
        </w:trPr>
        <w:tc>
          <w:tcPr>
            <w:tcW w:w="1883" w:type="dxa"/>
            <w:vMerge w:val="continue"/>
            <w:vAlign w:val="center"/>
          </w:tcPr>
          <w:p w14:paraId="7EE2CC09">
            <w:pPr>
              <w:pStyle w:val="44"/>
              <w:spacing w:line="360" w:lineRule="auto"/>
              <w:jc w:val="center"/>
              <w:rPr>
                <w:rFonts w:hint="eastAsia"/>
              </w:rPr>
            </w:pPr>
          </w:p>
        </w:tc>
        <w:tc>
          <w:tcPr>
            <w:tcW w:w="6200" w:type="dxa"/>
            <w:vAlign w:val="center"/>
          </w:tcPr>
          <w:p w14:paraId="5DBA734C">
            <w:pPr>
              <w:pStyle w:val="11"/>
              <w:rPr>
                <w:rFonts w:hint="eastAsia" w:ascii="宋体" w:hAnsi="宋体" w:eastAsia="宋体" w:cs="宋体"/>
                <w:lang w:bidi="en-US"/>
              </w:rPr>
            </w:pPr>
            <w:r>
              <w:rPr>
                <w:rFonts w:hint="eastAsia" w:ascii="宋体" w:hAnsi="宋体" w:eastAsia="宋体" w:cs="宋体"/>
              </w:rPr>
              <w:t>消防查验</w:t>
            </w:r>
            <w:r>
              <w:rPr>
                <w:rFonts w:hint="eastAsia" w:ascii="宋体" w:hAnsi="宋体" w:eastAsia="宋体" w:cs="宋体"/>
                <w:highlight w:val="none"/>
              </w:rPr>
              <w:t>人员配备（配备专职消防查验人员</w:t>
            </w:r>
            <w:r>
              <w:rPr>
                <w:rFonts w:hint="eastAsia" w:ascii="宋体" w:hAnsi="宋体" w:eastAsia="宋体" w:cs="宋体"/>
                <w:highlight w:val="none"/>
                <w:lang w:val="en-US" w:eastAsia="zh-CN"/>
              </w:rPr>
              <w:t>不少于5</w:t>
            </w:r>
            <w:r>
              <w:rPr>
                <w:rFonts w:hint="eastAsia" w:ascii="宋体" w:hAnsi="宋体" w:eastAsia="宋体" w:cs="宋体"/>
                <w:highlight w:val="none"/>
              </w:rPr>
              <w:t>人且持证率为100%的得</w:t>
            </w:r>
            <w:r>
              <w:rPr>
                <w:rFonts w:hint="eastAsia" w:ascii="宋体" w:hAnsi="宋体" w:eastAsia="宋体" w:cs="宋体"/>
                <w:highlight w:val="none"/>
                <w:lang w:val="en-US" w:eastAsia="zh-CN"/>
              </w:rPr>
              <w:t>11~</w:t>
            </w:r>
            <w:r>
              <w:rPr>
                <w:rFonts w:hint="eastAsia" w:ascii="宋体" w:hAnsi="宋体" w:eastAsia="宋体" w:cs="宋体"/>
                <w:highlight w:val="none"/>
              </w:rPr>
              <w:t>15分，配备专职检查人员</w:t>
            </w:r>
            <w:r>
              <w:rPr>
                <w:rFonts w:hint="eastAsia" w:ascii="宋体" w:hAnsi="宋体" w:eastAsia="宋体" w:cs="宋体"/>
                <w:highlight w:val="none"/>
                <w:lang w:val="en-US" w:eastAsia="zh-CN"/>
              </w:rPr>
              <w:t>不少于3</w:t>
            </w:r>
            <w:r>
              <w:rPr>
                <w:rFonts w:hint="eastAsia" w:ascii="宋体" w:hAnsi="宋体" w:eastAsia="宋体" w:cs="宋体"/>
                <w:highlight w:val="none"/>
              </w:rPr>
              <w:t>人且持证率</w:t>
            </w:r>
            <w:r>
              <w:rPr>
                <w:rFonts w:hint="eastAsia" w:ascii="宋体" w:hAnsi="宋体" w:eastAsia="宋体" w:cs="宋体"/>
                <w:highlight w:val="none"/>
                <w:lang w:val="en-US" w:eastAsia="zh-CN"/>
              </w:rPr>
              <w:t>不低于</w:t>
            </w:r>
            <w:r>
              <w:rPr>
                <w:rFonts w:hint="eastAsia" w:ascii="宋体" w:hAnsi="宋体" w:eastAsia="宋体" w:cs="宋体"/>
                <w:highlight w:val="none"/>
              </w:rPr>
              <w:t>80%的得</w:t>
            </w:r>
            <w:r>
              <w:rPr>
                <w:rFonts w:hint="eastAsia" w:ascii="宋体" w:hAnsi="宋体" w:eastAsia="宋体" w:cs="宋体"/>
                <w:highlight w:val="none"/>
                <w:lang w:val="en-US" w:eastAsia="zh-CN"/>
              </w:rPr>
              <w:t>6~</w:t>
            </w:r>
            <w:r>
              <w:rPr>
                <w:rFonts w:hint="eastAsia" w:ascii="宋体" w:hAnsi="宋体" w:eastAsia="宋体" w:cs="宋体"/>
                <w:highlight w:val="none"/>
              </w:rPr>
              <w:t>10分，配备专职消防查验人员</w:t>
            </w:r>
            <w:r>
              <w:rPr>
                <w:rFonts w:hint="eastAsia" w:ascii="宋体" w:hAnsi="宋体" w:eastAsia="宋体" w:cs="宋体"/>
                <w:highlight w:val="none"/>
                <w:lang w:val="en-US" w:eastAsia="zh-CN"/>
              </w:rPr>
              <w:t>不足3</w:t>
            </w:r>
            <w:r>
              <w:rPr>
                <w:rFonts w:hint="eastAsia" w:ascii="宋体" w:hAnsi="宋体" w:eastAsia="宋体" w:cs="宋体"/>
                <w:highlight w:val="none"/>
              </w:rPr>
              <w:t>人</w:t>
            </w:r>
            <w:r>
              <w:rPr>
                <w:rFonts w:hint="eastAsia" w:ascii="宋体" w:hAnsi="宋体" w:eastAsia="宋体" w:cs="宋体"/>
                <w:highlight w:val="none"/>
                <w:lang w:val="en-US" w:eastAsia="zh-CN"/>
              </w:rPr>
              <w:t>或</w:t>
            </w:r>
            <w:r>
              <w:rPr>
                <w:rFonts w:hint="eastAsia" w:ascii="宋体" w:hAnsi="宋体" w:eastAsia="宋体" w:cs="宋体"/>
                <w:highlight w:val="none"/>
              </w:rPr>
              <w:t>持证率</w:t>
            </w:r>
            <w:r>
              <w:rPr>
                <w:rFonts w:hint="eastAsia" w:ascii="宋体" w:hAnsi="宋体" w:eastAsia="宋体" w:cs="宋体"/>
                <w:highlight w:val="none"/>
                <w:lang w:val="en-US" w:eastAsia="zh-CN"/>
              </w:rPr>
              <w:t>低于6</w:t>
            </w:r>
            <w:r>
              <w:rPr>
                <w:rFonts w:hint="eastAsia" w:ascii="宋体" w:hAnsi="宋体" w:eastAsia="宋体" w:cs="宋体"/>
                <w:highlight w:val="none"/>
              </w:rPr>
              <w:t>0%的得</w:t>
            </w:r>
            <w:r>
              <w:rPr>
                <w:rFonts w:hint="eastAsia" w:ascii="宋体" w:hAnsi="宋体" w:eastAsia="宋体" w:cs="宋体"/>
                <w:highlight w:val="none"/>
                <w:lang w:val="en-US" w:eastAsia="zh-CN"/>
              </w:rPr>
              <w:t>0~</w:t>
            </w:r>
            <w:r>
              <w:rPr>
                <w:rFonts w:hint="eastAsia" w:ascii="宋体" w:hAnsi="宋体" w:eastAsia="宋体" w:cs="宋体"/>
                <w:highlight w:val="none"/>
              </w:rPr>
              <w:t>5分)。</w:t>
            </w:r>
          </w:p>
        </w:tc>
        <w:tc>
          <w:tcPr>
            <w:tcW w:w="1334" w:type="dxa"/>
            <w:vAlign w:val="center"/>
          </w:tcPr>
          <w:p w14:paraId="54E61887">
            <w:pPr>
              <w:jc w:val="center"/>
              <w:rPr>
                <w:rFonts w:hint="eastAsia" w:ascii="宋体" w:hAnsi="宋体" w:eastAsia="宋体" w:cs="宋体"/>
                <w:lang w:eastAsia="en-US" w:bidi="en-US"/>
              </w:rPr>
            </w:pPr>
            <w:r>
              <w:rPr>
                <w:rFonts w:hint="eastAsia" w:ascii="宋体" w:hAnsi="宋体" w:eastAsia="宋体" w:cs="宋体"/>
                <w:lang w:bidi="en-US"/>
              </w:rPr>
              <w:t>0-15</w:t>
            </w:r>
            <w:r>
              <w:rPr>
                <w:rFonts w:hint="eastAsia" w:ascii="宋体" w:hAnsi="宋体" w:eastAsia="宋体" w:cs="宋体"/>
                <w:lang w:eastAsia="en-US" w:bidi="en-US"/>
              </w:rPr>
              <w:t>分</w:t>
            </w:r>
          </w:p>
        </w:tc>
      </w:tr>
      <w:tr w14:paraId="65CA926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114" w:type="dxa"/>
            <w:left w:w="115" w:type="dxa"/>
            <w:bottom w:w="0" w:type="dxa"/>
            <w:right w:w="115" w:type="dxa"/>
          </w:tblCellMar>
        </w:tblPrEx>
        <w:trPr>
          <w:trHeight w:val="375" w:hRule="atLeast"/>
        </w:trPr>
        <w:tc>
          <w:tcPr>
            <w:tcW w:w="1883" w:type="dxa"/>
            <w:vMerge w:val="continue"/>
            <w:vAlign w:val="center"/>
          </w:tcPr>
          <w:p w14:paraId="523ACCDD">
            <w:pPr>
              <w:pStyle w:val="44"/>
              <w:spacing w:line="360" w:lineRule="auto"/>
              <w:jc w:val="center"/>
              <w:rPr>
                <w:rFonts w:hint="eastAsia"/>
              </w:rPr>
            </w:pPr>
          </w:p>
        </w:tc>
        <w:tc>
          <w:tcPr>
            <w:tcW w:w="6200" w:type="dxa"/>
            <w:tcBorders>
              <w:bottom w:val="single" w:color="auto" w:sz="4" w:space="0"/>
            </w:tcBorders>
            <w:vAlign w:val="center"/>
          </w:tcPr>
          <w:p w14:paraId="34D22030">
            <w:pPr>
              <w:rPr>
                <w:rFonts w:hint="eastAsia" w:ascii="宋体" w:hAnsi="宋体" w:eastAsia="宋体" w:cs="宋体"/>
                <w:lang w:bidi="en-US"/>
              </w:rPr>
            </w:pPr>
            <w:r>
              <w:rPr>
                <w:rFonts w:hint="eastAsia" w:ascii="宋体" w:hAnsi="宋体" w:eastAsia="宋体" w:cs="宋体"/>
              </w:rPr>
              <w:t>服务质量保障措施及服务承诺（</w:t>
            </w:r>
            <w:r>
              <w:rPr>
                <w:rFonts w:hint="eastAsia" w:ascii="宋体" w:hAnsi="宋体" w:eastAsia="宋体" w:cs="宋体"/>
                <w:kern w:val="0"/>
                <w:szCs w:val="21"/>
              </w:rPr>
              <w:t>质量保证措施科学、</w:t>
            </w:r>
            <w:r>
              <w:rPr>
                <w:rFonts w:hint="eastAsia" w:ascii="宋体" w:hAnsi="宋体" w:eastAsia="宋体" w:cs="宋体"/>
                <w:szCs w:val="21"/>
              </w:rPr>
              <w:t>服务承诺</w:t>
            </w:r>
            <w:r>
              <w:rPr>
                <w:rFonts w:hint="eastAsia" w:ascii="宋体" w:hAnsi="宋体" w:eastAsia="宋体" w:cs="宋体"/>
                <w:kern w:val="0"/>
                <w:szCs w:val="21"/>
              </w:rPr>
              <w:t>可行、全面的得8</w:t>
            </w:r>
            <w:r>
              <w:rPr>
                <w:rFonts w:hint="eastAsia" w:ascii="宋体" w:hAnsi="宋体" w:eastAsia="宋体" w:cs="宋体"/>
              </w:rPr>
              <w:t>~</w:t>
            </w:r>
            <w:r>
              <w:rPr>
                <w:rFonts w:hint="eastAsia" w:ascii="宋体" w:hAnsi="宋体" w:eastAsia="宋体" w:cs="宋体"/>
                <w:kern w:val="0"/>
                <w:szCs w:val="21"/>
              </w:rPr>
              <w:t>10分</w:t>
            </w:r>
            <w:r>
              <w:rPr>
                <w:rFonts w:hint="eastAsia" w:ascii="宋体" w:hAnsi="宋体" w:eastAsia="宋体" w:cs="宋体"/>
                <w:szCs w:val="21"/>
              </w:rPr>
              <w:t>，基本</w:t>
            </w:r>
            <w:r>
              <w:rPr>
                <w:rFonts w:hint="eastAsia" w:ascii="宋体" w:hAnsi="宋体" w:eastAsia="宋体" w:cs="宋体"/>
                <w:kern w:val="0"/>
                <w:szCs w:val="21"/>
              </w:rPr>
              <w:t>可行得4</w:t>
            </w:r>
            <w:r>
              <w:rPr>
                <w:rFonts w:hint="eastAsia" w:ascii="宋体" w:hAnsi="宋体" w:eastAsia="宋体" w:cs="宋体"/>
              </w:rPr>
              <w:t>~</w:t>
            </w:r>
            <w:r>
              <w:rPr>
                <w:rFonts w:hint="eastAsia" w:ascii="宋体" w:hAnsi="宋体" w:eastAsia="宋体" w:cs="宋体"/>
                <w:kern w:val="0"/>
                <w:szCs w:val="21"/>
              </w:rPr>
              <w:t>7分</w:t>
            </w:r>
            <w:r>
              <w:rPr>
                <w:rFonts w:hint="eastAsia" w:ascii="宋体" w:hAnsi="宋体" w:eastAsia="宋体" w:cs="宋体"/>
              </w:rPr>
              <w:t>，未提供或</w:t>
            </w:r>
            <w:r>
              <w:rPr>
                <w:rFonts w:hint="eastAsia" w:ascii="宋体" w:hAnsi="宋体" w:eastAsia="宋体" w:cs="宋体"/>
                <w:kern w:val="0"/>
                <w:szCs w:val="21"/>
              </w:rPr>
              <w:t>质量保证措施较差的得0</w:t>
            </w:r>
            <w:r>
              <w:rPr>
                <w:rFonts w:hint="eastAsia" w:ascii="宋体" w:hAnsi="宋体" w:eastAsia="宋体" w:cs="宋体"/>
              </w:rPr>
              <w:t>~</w:t>
            </w:r>
            <w:r>
              <w:rPr>
                <w:rFonts w:hint="eastAsia" w:ascii="宋体" w:hAnsi="宋体" w:eastAsia="宋体" w:cs="宋体"/>
                <w:kern w:val="0"/>
                <w:szCs w:val="21"/>
              </w:rPr>
              <w:t>3分</w:t>
            </w:r>
            <w:r>
              <w:rPr>
                <w:rFonts w:hint="eastAsia" w:ascii="宋体" w:hAnsi="宋体" w:eastAsia="宋体" w:cs="宋体"/>
              </w:rPr>
              <w:t>。）</w:t>
            </w:r>
          </w:p>
        </w:tc>
        <w:tc>
          <w:tcPr>
            <w:tcW w:w="1334" w:type="dxa"/>
            <w:tcBorders>
              <w:bottom w:val="single" w:color="auto" w:sz="4" w:space="0"/>
            </w:tcBorders>
            <w:vAlign w:val="center"/>
          </w:tcPr>
          <w:p w14:paraId="7C29AC79">
            <w:pPr>
              <w:jc w:val="center"/>
              <w:rPr>
                <w:rFonts w:hint="eastAsia" w:ascii="宋体" w:hAnsi="宋体" w:eastAsia="宋体" w:cs="宋体"/>
                <w:lang w:eastAsia="en-US" w:bidi="en-US"/>
              </w:rPr>
            </w:pPr>
            <w:r>
              <w:rPr>
                <w:rFonts w:hint="eastAsia" w:ascii="宋体" w:hAnsi="宋体" w:eastAsia="宋体" w:cs="宋体"/>
                <w:lang w:bidi="en-US"/>
              </w:rPr>
              <w:t>0-10</w:t>
            </w:r>
            <w:r>
              <w:rPr>
                <w:rFonts w:hint="eastAsia" w:ascii="宋体" w:hAnsi="宋体" w:eastAsia="宋体" w:cs="宋体"/>
                <w:lang w:eastAsia="en-US" w:bidi="en-US"/>
              </w:rPr>
              <w:t>分</w:t>
            </w:r>
          </w:p>
        </w:tc>
      </w:tr>
      <w:tr w14:paraId="67F678A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114" w:type="dxa"/>
            <w:left w:w="115" w:type="dxa"/>
            <w:bottom w:w="0" w:type="dxa"/>
            <w:right w:w="115" w:type="dxa"/>
          </w:tblCellMar>
        </w:tblPrEx>
        <w:trPr>
          <w:trHeight w:val="711" w:hRule="atLeast"/>
        </w:trPr>
        <w:tc>
          <w:tcPr>
            <w:tcW w:w="1883" w:type="dxa"/>
            <w:vMerge w:val="continue"/>
            <w:vAlign w:val="center"/>
          </w:tcPr>
          <w:p w14:paraId="275F1106">
            <w:pPr>
              <w:pStyle w:val="44"/>
              <w:spacing w:line="360" w:lineRule="auto"/>
              <w:jc w:val="center"/>
              <w:rPr>
                <w:rFonts w:hint="eastAsia"/>
              </w:rPr>
            </w:pPr>
          </w:p>
        </w:tc>
        <w:tc>
          <w:tcPr>
            <w:tcW w:w="6200" w:type="dxa"/>
            <w:vAlign w:val="center"/>
          </w:tcPr>
          <w:p w14:paraId="051CCEFA">
            <w:pPr>
              <w:rPr>
                <w:rFonts w:hint="eastAsia" w:ascii="宋体" w:hAnsi="宋体" w:eastAsia="宋体" w:cs="宋体"/>
                <w:lang w:bidi="en-US"/>
              </w:rPr>
            </w:pPr>
            <w:r>
              <w:rPr>
                <w:rFonts w:hint="eastAsia" w:ascii="宋体" w:hAnsi="宋体" w:eastAsia="宋体" w:cs="宋体"/>
              </w:rPr>
              <w:t>本项目重难点分析及合理化建议。（对本项目的理解及重点难点分析全面、可行、有针对性的得</w:t>
            </w:r>
            <w:r>
              <w:rPr>
                <w:rFonts w:hint="eastAsia" w:ascii="宋体" w:hAnsi="宋体" w:eastAsia="宋体" w:cs="宋体"/>
                <w:kern w:val="0"/>
                <w:szCs w:val="21"/>
              </w:rPr>
              <w:t>8</w:t>
            </w:r>
            <w:r>
              <w:rPr>
                <w:rFonts w:hint="eastAsia" w:ascii="宋体" w:hAnsi="宋体" w:eastAsia="宋体" w:cs="宋体"/>
              </w:rPr>
              <w:t>~</w:t>
            </w:r>
            <w:r>
              <w:rPr>
                <w:rFonts w:hint="eastAsia" w:ascii="宋体" w:hAnsi="宋体" w:eastAsia="宋体" w:cs="宋体"/>
                <w:kern w:val="0"/>
                <w:szCs w:val="21"/>
              </w:rPr>
              <w:t>10分</w:t>
            </w:r>
            <w:r>
              <w:rPr>
                <w:rFonts w:hint="eastAsia" w:ascii="宋体" w:hAnsi="宋体" w:eastAsia="宋体" w:cs="宋体"/>
              </w:rPr>
              <w:t>，一般的得</w:t>
            </w:r>
            <w:r>
              <w:rPr>
                <w:rFonts w:hint="eastAsia" w:ascii="宋体" w:hAnsi="宋体" w:eastAsia="宋体" w:cs="宋体"/>
                <w:kern w:val="0"/>
                <w:szCs w:val="21"/>
              </w:rPr>
              <w:t>4</w:t>
            </w:r>
            <w:r>
              <w:rPr>
                <w:rFonts w:hint="eastAsia" w:ascii="宋体" w:hAnsi="宋体" w:eastAsia="宋体" w:cs="宋体"/>
              </w:rPr>
              <w:t>~</w:t>
            </w:r>
            <w:r>
              <w:rPr>
                <w:rFonts w:hint="eastAsia" w:ascii="宋体" w:hAnsi="宋体" w:eastAsia="宋体" w:cs="宋体"/>
                <w:kern w:val="0"/>
                <w:szCs w:val="21"/>
              </w:rPr>
              <w:t>7</w:t>
            </w:r>
            <w:r>
              <w:rPr>
                <w:rFonts w:hint="eastAsia" w:ascii="宋体" w:hAnsi="宋体" w:eastAsia="宋体" w:cs="宋体"/>
              </w:rPr>
              <w:t>分，未提供或内容不完善</w:t>
            </w:r>
            <w:r>
              <w:rPr>
                <w:rFonts w:hint="eastAsia" w:ascii="宋体" w:hAnsi="宋体" w:eastAsia="宋体" w:cs="宋体"/>
                <w:kern w:val="0"/>
                <w:szCs w:val="21"/>
              </w:rPr>
              <w:t>得0</w:t>
            </w:r>
            <w:r>
              <w:rPr>
                <w:rFonts w:hint="eastAsia" w:ascii="宋体" w:hAnsi="宋体" w:eastAsia="宋体" w:cs="宋体"/>
              </w:rPr>
              <w:t>~</w:t>
            </w:r>
            <w:r>
              <w:rPr>
                <w:rFonts w:hint="eastAsia" w:ascii="宋体" w:hAnsi="宋体" w:eastAsia="宋体" w:cs="宋体"/>
                <w:kern w:val="0"/>
                <w:szCs w:val="21"/>
              </w:rPr>
              <w:t>3分</w:t>
            </w:r>
            <w:r>
              <w:rPr>
                <w:rFonts w:hint="eastAsia" w:ascii="宋体" w:hAnsi="宋体" w:eastAsia="宋体" w:cs="宋体"/>
              </w:rPr>
              <w:t>。）</w:t>
            </w:r>
          </w:p>
        </w:tc>
        <w:tc>
          <w:tcPr>
            <w:tcW w:w="1334" w:type="dxa"/>
            <w:vAlign w:val="center"/>
          </w:tcPr>
          <w:p w14:paraId="3D3CFE59">
            <w:pPr>
              <w:jc w:val="center"/>
              <w:rPr>
                <w:rFonts w:hint="eastAsia" w:ascii="宋体" w:hAnsi="宋体" w:eastAsia="宋体" w:cs="宋体"/>
                <w:lang w:eastAsia="en-US" w:bidi="en-US"/>
              </w:rPr>
            </w:pPr>
            <w:r>
              <w:rPr>
                <w:rFonts w:hint="eastAsia" w:ascii="宋体" w:hAnsi="宋体" w:eastAsia="宋体" w:cs="宋体"/>
                <w:lang w:bidi="en-US"/>
              </w:rPr>
              <w:t>0-10</w:t>
            </w:r>
            <w:r>
              <w:rPr>
                <w:rFonts w:hint="eastAsia" w:ascii="宋体" w:hAnsi="宋体" w:eastAsia="宋体" w:cs="宋体"/>
                <w:lang w:eastAsia="en-US" w:bidi="en-US"/>
              </w:rPr>
              <w:t>分</w:t>
            </w:r>
          </w:p>
        </w:tc>
      </w:tr>
      <w:tr w14:paraId="47BF7D9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114" w:type="dxa"/>
            <w:left w:w="115" w:type="dxa"/>
            <w:bottom w:w="0" w:type="dxa"/>
            <w:right w:w="115" w:type="dxa"/>
          </w:tblCellMar>
        </w:tblPrEx>
        <w:trPr>
          <w:trHeight w:val="711" w:hRule="atLeast"/>
        </w:trPr>
        <w:tc>
          <w:tcPr>
            <w:tcW w:w="1883" w:type="dxa"/>
            <w:vMerge w:val="continue"/>
            <w:vAlign w:val="center"/>
          </w:tcPr>
          <w:p w14:paraId="04D26F04">
            <w:pPr>
              <w:pStyle w:val="44"/>
              <w:spacing w:line="360" w:lineRule="auto"/>
              <w:jc w:val="center"/>
              <w:rPr>
                <w:rFonts w:hint="eastAsia"/>
              </w:rPr>
            </w:pPr>
          </w:p>
        </w:tc>
        <w:tc>
          <w:tcPr>
            <w:tcW w:w="6200" w:type="dxa"/>
            <w:vAlign w:val="center"/>
          </w:tcPr>
          <w:p w14:paraId="28FF4A5C">
            <w:pPr>
              <w:rPr>
                <w:rFonts w:hint="eastAsia" w:ascii="宋体" w:hAnsi="宋体" w:eastAsia="宋体" w:cs="宋体"/>
              </w:rPr>
            </w:pPr>
            <w:r>
              <w:rPr>
                <w:rFonts w:hint="eastAsia" w:ascii="宋体" w:hAnsi="宋体" w:eastAsia="宋体" w:cs="宋体"/>
              </w:rPr>
              <w:t>公司具备</w:t>
            </w:r>
            <w:r>
              <w:rPr>
                <w:rFonts w:ascii="宋体" w:hAnsi="宋体" w:eastAsia="宋体" w:cs="宋体"/>
                <w:szCs w:val="21"/>
              </w:rPr>
              <w:t>本单位已在全国消防技术服务机构信息管理系统完成消防设施维护保养检测机构从业信息公示</w:t>
            </w:r>
            <w:r>
              <w:rPr>
                <w:rFonts w:hint="eastAsia" w:ascii="宋体" w:hAnsi="宋体" w:eastAsia="宋体" w:cs="宋体"/>
              </w:rPr>
              <w:t>，得5分，未满足不得分。近3年无重大质量事故、行政处罚或行业通报批评，得5分，未满足不得分。</w:t>
            </w:r>
          </w:p>
        </w:tc>
        <w:tc>
          <w:tcPr>
            <w:tcW w:w="1334" w:type="dxa"/>
            <w:vAlign w:val="center"/>
          </w:tcPr>
          <w:p w14:paraId="52A1621E">
            <w:pPr>
              <w:jc w:val="center"/>
              <w:rPr>
                <w:rFonts w:hint="eastAsia" w:ascii="宋体" w:hAnsi="宋体" w:eastAsia="宋体" w:cs="宋体"/>
                <w:lang w:bidi="en-US"/>
              </w:rPr>
            </w:pPr>
            <w:r>
              <w:rPr>
                <w:rFonts w:hint="eastAsia" w:ascii="宋体" w:hAnsi="宋体" w:eastAsia="宋体" w:cs="宋体"/>
                <w:lang w:bidi="en-US"/>
              </w:rPr>
              <w:t>0-10</w:t>
            </w:r>
            <w:r>
              <w:rPr>
                <w:rFonts w:hint="eastAsia" w:ascii="宋体" w:hAnsi="宋体" w:eastAsia="宋体" w:cs="宋体"/>
                <w:lang w:eastAsia="en-US" w:bidi="en-US"/>
              </w:rPr>
              <w:t>分</w:t>
            </w:r>
          </w:p>
        </w:tc>
      </w:tr>
      <w:tr w14:paraId="2D9BDE0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114" w:type="dxa"/>
            <w:left w:w="115" w:type="dxa"/>
            <w:bottom w:w="0" w:type="dxa"/>
            <w:right w:w="115" w:type="dxa"/>
          </w:tblCellMar>
        </w:tblPrEx>
        <w:trPr>
          <w:trHeight w:val="711" w:hRule="atLeast"/>
        </w:trPr>
        <w:tc>
          <w:tcPr>
            <w:tcW w:w="1883" w:type="dxa"/>
            <w:vMerge w:val="continue"/>
            <w:vAlign w:val="center"/>
          </w:tcPr>
          <w:p w14:paraId="437E033E">
            <w:pPr>
              <w:pStyle w:val="44"/>
              <w:spacing w:line="360" w:lineRule="auto"/>
              <w:jc w:val="center"/>
              <w:rPr>
                <w:rFonts w:hint="eastAsia"/>
              </w:rPr>
            </w:pPr>
          </w:p>
        </w:tc>
        <w:tc>
          <w:tcPr>
            <w:tcW w:w="6200" w:type="dxa"/>
            <w:vAlign w:val="center"/>
          </w:tcPr>
          <w:p w14:paraId="5940041D">
            <w:pPr>
              <w:rPr>
                <w:rFonts w:hint="eastAsia" w:ascii="宋体" w:hAnsi="宋体" w:eastAsia="宋体" w:cs="宋体"/>
              </w:rPr>
            </w:pPr>
            <w:r>
              <w:rPr>
                <w:rFonts w:hint="eastAsia" w:ascii="宋体" w:hAnsi="宋体" w:eastAsia="宋体" w:cs="宋体"/>
              </w:rPr>
              <w:t>类似项目业绩（根据近三年类似项目业绩进行评审，是否属于有效的类似项目业绩由评审委员会认定，每提供1个得2分，最多得10分。提供业绩证明（以合同复印件为准，时间以合同签订日期为准））</w:t>
            </w:r>
          </w:p>
        </w:tc>
        <w:tc>
          <w:tcPr>
            <w:tcW w:w="1334" w:type="dxa"/>
            <w:vAlign w:val="center"/>
          </w:tcPr>
          <w:p w14:paraId="6CC12F0D">
            <w:pPr>
              <w:jc w:val="center"/>
              <w:rPr>
                <w:rFonts w:hint="eastAsia" w:ascii="宋体" w:hAnsi="宋体" w:eastAsia="宋体" w:cs="宋体"/>
                <w:lang w:bidi="en-US"/>
              </w:rPr>
            </w:pPr>
            <w:r>
              <w:rPr>
                <w:rFonts w:hint="eastAsia" w:ascii="宋体" w:hAnsi="宋体" w:eastAsia="宋体" w:cs="宋体"/>
                <w:lang w:bidi="en-US"/>
              </w:rPr>
              <w:t>0-10</w:t>
            </w:r>
            <w:r>
              <w:rPr>
                <w:rFonts w:hint="eastAsia" w:ascii="宋体" w:hAnsi="宋体" w:eastAsia="宋体" w:cs="宋体"/>
                <w:lang w:eastAsia="en-US" w:bidi="en-US"/>
              </w:rPr>
              <w:t>分</w:t>
            </w:r>
          </w:p>
        </w:tc>
      </w:tr>
    </w:tbl>
    <w:p w14:paraId="6E82F788">
      <w:pPr>
        <w:widowControl/>
        <w:spacing w:after="160" w:line="278" w:lineRule="auto"/>
        <w:jc w:val="left"/>
        <w:rPr>
          <w:rFonts w:hint="eastAsia" w:ascii="宋体" w:hAnsi="宋体" w:eastAsia="宋体" w:cs="宋体"/>
          <w:sz w:val="24"/>
          <w:szCs w:val="24"/>
        </w:rPr>
      </w:pPr>
    </w:p>
    <w:sectPr>
      <w:pgSz w:w="11906" w:h="16838"/>
      <w:pgMar w:top="1440" w:right="1800" w:bottom="1440" w:left="180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D95CA9"/>
    <w:multiLevelType w:val="singleLevel"/>
    <w:tmpl w:val="ABD95CA9"/>
    <w:lvl w:ilvl="0" w:tentative="0">
      <w:start w:val="1"/>
      <w:numFmt w:val="decimal"/>
      <w:suff w:val="nothing"/>
      <w:lvlText w:val="%1、"/>
      <w:lvlJc w:val="left"/>
    </w:lvl>
  </w:abstractNum>
  <w:abstractNum w:abstractNumId="1">
    <w:nsid w:val="28F228BD"/>
    <w:multiLevelType w:val="singleLevel"/>
    <w:tmpl w:val="28F228BD"/>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0FA"/>
    <w:rsid w:val="001510A0"/>
    <w:rsid w:val="001D365D"/>
    <w:rsid w:val="0020643C"/>
    <w:rsid w:val="002C004C"/>
    <w:rsid w:val="0031511A"/>
    <w:rsid w:val="00325C4D"/>
    <w:rsid w:val="005A7AF3"/>
    <w:rsid w:val="006006A3"/>
    <w:rsid w:val="006741C4"/>
    <w:rsid w:val="007A51B4"/>
    <w:rsid w:val="007D4594"/>
    <w:rsid w:val="00866335"/>
    <w:rsid w:val="00885D23"/>
    <w:rsid w:val="008D1E44"/>
    <w:rsid w:val="00B2751E"/>
    <w:rsid w:val="00B31AC3"/>
    <w:rsid w:val="00BB3085"/>
    <w:rsid w:val="00D03026"/>
    <w:rsid w:val="00E23A67"/>
    <w:rsid w:val="00E820FA"/>
    <w:rsid w:val="00EA2847"/>
    <w:rsid w:val="00F07B08"/>
    <w:rsid w:val="00FA3E06"/>
    <w:rsid w:val="00FF6ED7"/>
    <w:rsid w:val="02083BFD"/>
    <w:rsid w:val="02447828"/>
    <w:rsid w:val="02B524D4"/>
    <w:rsid w:val="04417332"/>
    <w:rsid w:val="04E13A54"/>
    <w:rsid w:val="05331F78"/>
    <w:rsid w:val="05F477B7"/>
    <w:rsid w:val="0730481F"/>
    <w:rsid w:val="07747F4A"/>
    <w:rsid w:val="089B216C"/>
    <w:rsid w:val="0AC105A6"/>
    <w:rsid w:val="0F661726"/>
    <w:rsid w:val="0F713C26"/>
    <w:rsid w:val="1054330C"/>
    <w:rsid w:val="117054A2"/>
    <w:rsid w:val="12A367ED"/>
    <w:rsid w:val="13634133"/>
    <w:rsid w:val="149F2FE4"/>
    <w:rsid w:val="15B14D7D"/>
    <w:rsid w:val="171510CA"/>
    <w:rsid w:val="17DF02C7"/>
    <w:rsid w:val="17FA6EAF"/>
    <w:rsid w:val="18C76DEE"/>
    <w:rsid w:val="19713243"/>
    <w:rsid w:val="19B206A5"/>
    <w:rsid w:val="1A5A3C35"/>
    <w:rsid w:val="1ACE017F"/>
    <w:rsid w:val="1B18063A"/>
    <w:rsid w:val="1B210BF7"/>
    <w:rsid w:val="1C395ACC"/>
    <w:rsid w:val="1C4C30B4"/>
    <w:rsid w:val="1D04432C"/>
    <w:rsid w:val="1E330879"/>
    <w:rsid w:val="1E4A0464"/>
    <w:rsid w:val="1E8A6629"/>
    <w:rsid w:val="1EFF124F"/>
    <w:rsid w:val="1FE2748A"/>
    <w:rsid w:val="21A659B2"/>
    <w:rsid w:val="227E692E"/>
    <w:rsid w:val="23144B9D"/>
    <w:rsid w:val="233C481F"/>
    <w:rsid w:val="245A2A83"/>
    <w:rsid w:val="25F0544D"/>
    <w:rsid w:val="2705317A"/>
    <w:rsid w:val="27AB7A4E"/>
    <w:rsid w:val="286E6AFD"/>
    <w:rsid w:val="293D7D2C"/>
    <w:rsid w:val="2BCE2626"/>
    <w:rsid w:val="2C7A6134"/>
    <w:rsid w:val="2E67471B"/>
    <w:rsid w:val="2ECD6477"/>
    <w:rsid w:val="2F2148C9"/>
    <w:rsid w:val="2F364819"/>
    <w:rsid w:val="2F5E78CC"/>
    <w:rsid w:val="30BD0622"/>
    <w:rsid w:val="32FA55E0"/>
    <w:rsid w:val="332C27C3"/>
    <w:rsid w:val="37313B18"/>
    <w:rsid w:val="373832E3"/>
    <w:rsid w:val="373C5975"/>
    <w:rsid w:val="37A61E10"/>
    <w:rsid w:val="380354B4"/>
    <w:rsid w:val="38E70932"/>
    <w:rsid w:val="39447B32"/>
    <w:rsid w:val="3AA840F1"/>
    <w:rsid w:val="3C8841DA"/>
    <w:rsid w:val="3DA6065E"/>
    <w:rsid w:val="3E9641AF"/>
    <w:rsid w:val="3F7C53C0"/>
    <w:rsid w:val="401364B0"/>
    <w:rsid w:val="403D52DB"/>
    <w:rsid w:val="40CE4185"/>
    <w:rsid w:val="41620001"/>
    <w:rsid w:val="41962EF5"/>
    <w:rsid w:val="427C658F"/>
    <w:rsid w:val="45746A53"/>
    <w:rsid w:val="45C269AF"/>
    <w:rsid w:val="46C025FF"/>
    <w:rsid w:val="481608EC"/>
    <w:rsid w:val="4A6A3171"/>
    <w:rsid w:val="4C714C8A"/>
    <w:rsid w:val="4DD747A8"/>
    <w:rsid w:val="4EFD0A57"/>
    <w:rsid w:val="5176064D"/>
    <w:rsid w:val="51F7178E"/>
    <w:rsid w:val="53A53A8B"/>
    <w:rsid w:val="54646E83"/>
    <w:rsid w:val="54815C87"/>
    <w:rsid w:val="54ED50CA"/>
    <w:rsid w:val="55B1434A"/>
    <w:rsid w:val="55FA184D"/>
    <w:rsid w:val="56527629"/>
    <w:rsid w:val="56A30136"/>
    <w:rsid w:val="584E7C2E"/>
    <w:rsid w:val="587541B3"/>
    <w:rsid w:val="5888429A"/>
    <w:rsid w:val="5B0139BA"/>
    <w:rsid w:val="5B21787C"/>
    <w:rsid w:val="5B465534"/>
    <w:rsid w:val="5B8A08D0"/>
    <w:rsid w:val="5B8E5344"/>
    <w:rsid w:val="5D0B433F"/>
    <w:rsid w:val="5E0019CA"/>
    <w:rsid w:val="5FD01870"/>
    <w:rsid w:val="60F35816"/>
    <w:rsid w:val="61A539C2"/>
    <w:rsid w:val="62F933A7"/>
    <w:rsid w:val="641A773C"/>
    <w:rsid w:val="6421073C"/>
    <w:rsid w:val="65A939DC"/>
    <w:rsid w:val="65FC6F1B"/>
    <w:rsid w:val="66030B7B"/>
    <w:rsid w:val="66D7717D"/>
    <w:rsid w:val="67825B46"/>
    <w:rsid w:val="67F7414D"/>
    <w:rsid w:val="68BD1B3F"/>
    <w:rsid w:val="68E82F6A"/>
    <w:rsid w:val="69601EB7"/>
    <w:rsid w:val="6AE711B2"/>
    <w:rsid w:val="6AF64881"/>
    <w:rsid w:val="6B2F38EF"/>
    <w:rsid w:val="6BEE5558"/>
    <w:rsid w:val="6CC24944"/>
    <w:rsid w:val="6E6E4063"/>
    <w:rsid w:val="6F4B6983"/>
    <w:rsid w:val="6FF9096F"/>
    <w:rsid w:val="70117A67"/>
    <w:rsid w:val="71E371E1"/>
    <w:rsid w:val="746F7F51"/>
    <w:rsid w:val="747E1281"/>
    <w:rsid w:val="74DD616A"/>
    <w:rsid w:val="75FB0F9D"/>
    <w:rsid w:val="76585078"/>
    <w:rsid w:val="77F35CA4"/>
    <w:rsid w:val="7C9F44B8"/>
    <w:rsid w:val="7D636880"/>
    <w:rsid w:val="7D871368"/>
    <w:rsid w:val="7D913F95"/>
    <w:rsid w:val="7DA16A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6"/>
    <w:unhideWhenUsed/>
    <w:qFormat/>
    <w:uiPriority w:val="99"/>
    <w:pPr>
      <w:jc w:val="left"/>
    </w:pPr>
  </w:style>
  <w:style w:type="paragraph" w:styleId="12">
    <w:name w:val="Body Text"/>
    <w:basedOn w:val="1"/>
    <w:link w:val="41"/>
    <w:qFormat/>
    <w:uiPriority w:val="1"/>
    <w:pPr>
      <w:autoSpaceDE w:val="0"/>
      <w:autoSpaceDN w:val="0"/>
      <w:adjustRightInd w:val="0"/>
      <w:jc w:val="left"/>
    </w:pPr>
    <w:rPr>
      <w:rFonts w:ascii="宋体" w:hAnsi="Times New Roman" w:eastAsia="宋体" w:cs="宋体"/>
      <w:kern w:val="0"/>
      <w:sz w:val="28"/>
      <w:szCs w:val="28"/>
      <w14:ligatures w14:val="standardContextual"/>
    </w:rPr>
  </w:style>
  <w:style w:type="paragraph" w:styleId="13">
    <w:name w:val="footer"/>
    <w:basedOn w:val="1"/>
    <w:unhideWhenUsed/>
    <w:qFormat/>
    <w:uiPriority w:val="99"/>
    <w:pPr>
      <w:tabs>
        <w:tab w:val="center" w:pos="4153"/>
        <w:tab w:val="right" w:pos="8306"/>
      </w:tabs>
      <w:snapToGrid w:val="0"/>
      <w:jc w:val="left"/>
    </w:pPr>
    <w:rPr>
      <w:sz w:val="18"/>
    </w:rPr>
  </w:style>
  <w:style w:type="paragraph" w:styleId="1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Subtitle"/>
    <w:basedOn w:val="1"/>
    <w:next w:val="1"/>
    <w:link w:val="33"/>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47"/>
    <w:semiHidden/>
    <w:unhideWhenUsed/>
    <w:qFormat/>
    <w:uiPriority w:val="99"/>
    <w:rPr>
      <w:b/>
      <w:bCs/>
    </w:r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annotation reference"/>
    <w:qFormat/>
    <w:uiPriority w:val="99"/>
    <w:rPr>
      <w:sz w:val="21"/>
      <w:szCs w:val="21"/>
    </w:rPr>
  </w:style>
  <w:style w:type="character" w:customStyle="1" w:styleId="23">
    <w:name w:val="标题 1 字符"/>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0"/>
    <w:link w:val="5"/>
    <w:semiHidden/>
    <w:qFormat/>
    <w:uiPriority w:val="9"/>
    <w:rPr>
      <w:rFonts w:cstheme="majorBidi"/>
      <w:color w:val="104862" w:themeColor="accent1" w:themeShade="BF"/>
      <w:sz w:val="28"/>
      <w:szCs w:val="28"/>
    </w:rPr>
  </w:style>
  <w:style w:type="character" w:customStyle="1" w:styleId="27">
    <w:name w:val="标题 5 字符"/>
    <w:basedOn w:val="20"/>
    <w:link w:val="6"/>
    <w:semiHidden/>
    <w:qFormat/>
    <w:uiPriority w:val="9"/>
    <w:rPr>
      <w:rFonts w:cstheme="majorBidi"/>
      <w:color w:val="104862" w:themeColor="accent1" w:themeShade="BF"/>
      <w:sz w:val="24"/>
    </w:rPr>
  </w:style>
  <w:style w:type="character" w:customStyle="1" w:styleId="28">
    <w:name w:val="标题 6 字符"/>
    <w:basedOn w:val="20"/>
    <w:link w:val="7"/>
    <w:semiHidden/>
    <w:qFormat/>
    <w:uiPriority w:val="9"/>
    <w:rPr>
      <w:rFonts w:cstheme="majorBidi"/>
      <w:b/>
      <w:bCs/>
      <w:color w:val="104862" w:themeColor="accent1" w:themeShade="BF"/>
    </w:rPr>
  </w:style>
  <w:style w:type="character" w:customStyle="1" w:styleId="29">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0"/>
    <w:link w:val="16"/>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0"/>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link w:val="42"/>
    <w:qFormat/>
    <w:uiPriority w:val="0"/>
    <w:pPr>
      <w:ind w:left="720"/>
      <w:contextualSpacing/>
    </w:pPr>
  </w:style>
  <w:style w:type="character" w:customStyle="1" w:styleId="37">
    <w:name w:val="Intense Emphasis1"/>
    <w:basedOn w:val="20"/>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0"/>
    <w:link w:val="38"/>
    <w:qFormat/>
    <w:uiPriority w:val="30"/>
    <w:rPr>
      <w:i/>
      <w:iCs/>
      <w:color w:val="104862" w:themeColor="accent1" w:themeShade="BF"/>
    </w:rPr>
  </w:style>
  <w:style w:type="character" w:customStyle="1" w:styleId="40">
    <w:name w:val="Intense Reference1"/>
    <w:basedOn w:val="20"/>
    <w:qFormat/>
    <w:uiPriority w:val="32"/>
    <w:rPr>
      <w:b/>
      <w:bCs/>
      <w:smallCaps/>
      <w:color w:val="104862" w:themeColor="accent1" w:themeShade="BF"/>
      <w:spacing w:val="5"/>
    </w:rPr>
  </w:style>
  <w:style w:type="character" w:customStyle="1" w:styleId="41">
    <w:name w:val="正文文本 字符"/>
    <w:basedOn w:val="20"/>
    <w:link w:val="12"/>
    <w:qFormat/>
    <w:uiPriority w:val="1"/>
    <w:rPr>
      <w:rFonts w:ascii="宋体" w:hAnsi="Times New Roman" w:eastAsia="宋体" w:cs="宋体"/>
      <w:kern w:val="0"/>
      <w:sz w:val="28"/>
      <w:szCs w:val="28"/>
    </w:rPr>
  </w:style>
  <w:style w:type="character" w:customStyle="1" w:styleId="42">
    <w:name w:val="列表段落 字符"/>
    <w:link w:val="36"/>
    <w:qFormat/>
    <w:uiPriority w:val="0"/>
    <w:rPr>
      <w:sz w:val="21"/>
      <w:szCs w:val="22"/>
      <w14:ligatures w14:val="none"/>
    </w:rPr>
  </w:style>
  <w:style w:type="paragraph" w:customStyle="1" w:styleId="43">
    <w:name w:val="正文文字1"/>
    <w:basedOn w:val="12"/>
    <w:qFormat/>
    <w:uiPriority w:val="0"/>
    <w:pPr>
      <w:autoSpaceDE/>
      <w:autoSpaceDN/>
      <w:spacing w:line="360" w:lineRule="atLeast"/>
      <w:ind w:left="72" w:leftChars="30" w:right="72" w:rightChars="30"/>
      <w:jc w:val="both"/>
      <w:textAlignment w:val="baseline"/>
    </w:pPr>
    <w:rPr>
      <w:rFonts w:ascii="Times New Roman" w:cs="Times New Roman"/>
      <w:sz w:val="21"/>
      <w:szCs w:val="20"/>
      <w14:ligatures w14:val="none"/>
    </w:rPr>
  </w:style>
  <w:style w:type="paragraph" w:customStyle="1" w:styleId="44">
    <w:name w:val="[Normal]"/>
    <w:qFormat/>
    <w:uiPriority w:val="0"/>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eastAsia="宋体" w:cs="宋体"/>
      <w:sz w:val="24"/>
      <w:szCs w:val="24"/>
      <w:lang w:val="zh-CN" w:eastAsia="zh-CN" w:bidi="zh-CN"/>
    </w:rPr>
  </w:style>
  <w:style w:type="paragraph" w:customStyle="1" w:styleId="45">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6">
    <w:name w:val="批注文字 字符"/>
    <w:basedOn w:val="20"/>
    <w:link w:val="11"/>
    <w:qFormat/>
    <w:uiPriority w:val="99"/>
    <w:rPr>
      <w:rFonts w:asciiTheme="minorHAnsi" w:hAnsiTheme="minorHAnsi" w:eastAsiaTheme="minorEastAsia" w:cstheme="minorBidi"/>
      <w:kern w:val="2"/>
      <w:sz w:val="21"/>
      <w:szCs w:val="22"/>
    </w:rPr>
  </w:style>
  <w:style w:type="character" w:customStyle="1" w:styleId="47">
    <w:name w:val="批注主题 字符"/>
    <w:basedOn w:val="46"/>
    <w:link w:val="1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ce7798df-6639-4705-9b8f-20231f8cb1cc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44F68749</paraID>
      <start>0</start>
      <end>2</end>
      <status>ignored</status>
      <modifiedWord/>
      <trackRevisions>false</trackRevisions>
    </reviewItem>
    <reviewItem>
      <errorID>f597c2d3-8fe1-41a5-81a5-b671ad6ad778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7A68EE26</paraID>
      <start>0</start>
      <end>2</end>
      <status>ignored</status>
      <modifiedWord/>
      <trackRevisions>false</trackRevisions>
    </reviewItem>
    <reviewItem>
      <errorID>53c02e0d-a097-4acb-aabe-9bffe04f22bf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26852144</paraID>
      <start>0</start>
      <end>2</end>
      <status>ignored</status>
      <modifiedWord/>
      <trackRevisions>false</trackRevisions>
    </reviewItem>
    <reviewItem>
      <errorID>036432a8-92e8-48bb-93ef-ee478ec1b1e8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1AA1629</paraID>
      <start>0</start>
      <end>2</end>
      <status>ignored</status>
      <modifiedWord/>
      <trackRevisions>false</trackRevisions>
    </reviewItem>
    <reviewItem>
      <errorID>78f4aded-a9d3-4cd7-9d45-342b6d9a17ca</errorID>
      <errorWord>？？？</errorWord>
      <group>L1_Punc</group>
      <groupName>标点问题</groupName>
      <ability>L2_Punc_CN</ability>
      <abilityName>标点符号问题</abilityName>
      <candidateList>
        <item>？</item>
      </candidateList>
      <explain/>
      <paraID>16908E43</paraID>
      <start>0</start>
      <end>3</end>
      <status>ignored</status>
      <modifiedWord/>
      <trackRevisions>false</trackRevisions>
    </reviewItem>
    <reviewItem>
      <errorID>03acfeae-442d-4f70-bebb-a193a5f569e1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67F60D51</paraID>
      <start>0</start>
      <end>2</end>
      <status>ignored</status>
      <modifiedWord/>
      <trackRevisions>false</trackRevisions>
    </reviewItem>
    <reviewItem>
      <errorID>e3ec39bf-e1a7-43e1-bd92-96d0e26011e9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43BC3231</paraID>
      <start>0</start>
      <end>2</end>
      <status>ignored</status>
      <modifiedWord/>
      <trackRevisions>false</trackRevisions>
    </reviewItem>
    <reviewItem>
      <errorID>969c9b23-4242-4181-8fd1-3f359b48c42b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7EB9E679</paraID>
      <start>0</start>
      <end>2</end>
      <status>ignored</status>
      <modifiedWord/>
      <trackRevisions>false</trackRevisions>
    </reviewItem>
    <reviewItem>
      <errorID>60650d80-310b-4a29-9dc3-17b352ad52fa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6E3B85F6</paraID>
      <start>0</start>
      <end>2</end>
      <status>ignored</status>
      <modifiedWord/>
      <trackRevisions>false</trackRevisions>
    </reviewItem>
    <reviewItem>
      <errorID>3fbc5d08-defd-4242-854e-3b8833486e6e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1B44D5BC</paraID>
      <start>0</start>
      <end>2</end>
      <status>ignored</status>
      <modifiedWord/>
      <trackRevisions>false</trackRevisions>
    </reviewItem>
    <reviewItem>
      <errorID>00cd6374-d77a-4fc3-8336-8f59e1895647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EF626E1</paraID>
      <start>0</start>
      <end>2</end>
      <status>ignored</status>
      <modifiedWord/>
      <trackRevisions>false</trackRevisions>
    </reviewItem>
    <reviewItem>
      <errorID>f651169f-3e03-4506-be0b-47f424912971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49CBE2F6</paraID>
      <start>0</start>
      <end>2</end>
      <status>ignored</status>
      <modifiedWord/>
      <trackRevisions>false</trackRevisions>
    </reviewItem>
    <reviewItem>
      <errorID>d2ef5991-c511-43fa-91a7-544f8f21e0e6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6D65F90B</paraID>
      <start>0</start>
      <end>2</end>
      <status>ignored</status>
      <modifiedWord/>
      <trackRevisions>false</trackRevisions>
    </reviewItem>
    <reviewItem>
      <errorID>ca1b4f3a-26a6-4dfe-b2de-a0561f33075a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51113610</paraID>
      <start>0</start>
      <end>2</end>
      <status>ignored</status>
      <modifiedWord/>
      <trackRevisions>false</trackRevisions>
    </reviewItem>
    <reviewItem>
      <errorID>9f4c58aa-4967-48bb-ae8f-978337484b82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60142821</paraID>
      <start>0</start>
      <end>2</end>
      <status>ignored</status>
      <modifiedWord/>
      <trackRevisions>false</trackRevisions>
    </reviewItem>
    <reviewItem>
      <errorID>1bc2d0a8-cae4-4f6c-a04a-a5ca0dc98495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1D85C722</paraID>
      <start>0</start>
      <end>2</end>
      <status>ignored</status>
      <modifiedWord/>
      <trackRevisions>false</trackRevisions>
    </reviewItem>
    <reviewItem>
      <errorID>02eeba3f-8e0e-4206-ae41-fbd9cd9d2a9e</errorID>
      <errorWord>法律、法规</errorWord>
      <group>L1_Word</group>
      <groupName>字词问题</groupName>
      <ability>L2_Typo</ability>
      <abilityName>字词错误</abilityName>
      <candidateList>
        <item>法律法规</item>
      </candidateList>
      <explain/>
      <paraID>294D020C</paraID>
      <start>22</start>
      <end>27</end>
      <status>unmodified</status>
      <modifiedWord/>
      <trackRevisions>false</trackRevisions>
    </reviewItem>
    <reviewItem>
      <errorID>5dc0c8f8-f9c3-48ed-b3ef-8caa1c0ce19a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707B2B2B</paraID>
      <start>0</start>
      <end>2</end>
      <status>unmodified</status>
      <modifiedWord/>
      <trackRevisions>false</trackRevisions>
    </reviewItem>
    <reviewItem>
      <errorID>78bbb4a3-6cd4-492e-8aa9-e8a666510eea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3CE9608F</paraID>
      <start>0</start>
      <end>2</end>
      <status>unmodified</status>
      <modifiedWord/>
      <trackRevisions>false</trackRevisions>
    </reviewItem>
    <reviewItem>
      <errorID>8134a80f-90d5-4b6b-9890-28464f35584f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7D1F2166</paraID>
      <start>0</start>
      <end>2</end>
      <status>unmodified</status>
      <modifiedWord/>
      <trackRevisions>false</trackRevisions>
    </reviewItem>
    <reviewItem>
      <errorID>8d5c9cc3-67e3-4174-b97b-3ecb909953fe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4713A997</paraID>
      <start>0</start>
      <end>2</end>
      <status>unmodified</status>
      <modifiedWord/>
      <trackRevisions>false</trackRevisions>
    </reviewItem>
    <reviewItem>
      <errorID>1fc87b43-ad31-4f80-9562-c7cd5ff88963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325190B4</paraID>
      <start>0</start>
      <end>2</end>
      <status>unmodified</status>
      <modifiedWord/>
      <trackRevisions>false</trackRevisions>
    </reviewItem>
    <reviewItem>
      <errorID>2c2ebc78-bf63-4519-adb5-32da09715614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23309AD3</paraID>
      <start>0</start>
      <end>2</end>
      <status>unmodified</status>
      <modifiedWord/>
      <trackRevisions>false</trackRevisions>
    </reviewItem>
    <reviewItem>
      <errorID>eba0427d-af4e-4f53-b736-f045857fc486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388D16CF</paraID>
      <start>0</start>
      <end>2</end>
      <status>unmodified</status>
      <modifiedWord/>
      <trackRevisions>false</trackRevisions>
    </reviewItem>
    <reviewItem>
      <errorID>fa11d0a0-ebdd-4700-b5cd-65960b4f24d9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1CDB8177</paraID>
      <start>0</start>
      <end>2</end>
      <status>unmodified</status>
      <modifiedWord/>
      <trackRevisions>false</trackRevisions>
    </reviewItem>
    <reviewItem>
      <errorID>e088468b-337f-4435-a729-d8c57523e1e9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78ECBA02</paraID>
      <start>0</start>
      <end>2</end>
      <status>unmodified</status>
      <modifiedWord/>
      <trackRevisions>false</trackRevisions>
    </reviewItem>
    <reviewItem>
      <errorID>9adf4766-87b9-453c-b68b-06448fd8a847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54755421</paraID>
      <start>0</start>
      <end>3</end>
      <status>unmodified</status>
      <modifiedWord/>
      <trackRevisions>false</trackRevisions>
    </reviewItem>
    <reviewItem>
      <errorID>4e9b4167-d977-4373-a9b2-feb08b07dd72</errorID>
      <errorWord>方</errorWord>
      <group>L1_Word</group>
      <groupName>字词问题</groupName>
      <ability>L2_Typo</ability>
      <abilityName>字词错误</abilityName>
      <candidateList>
        <item>方性</item>
      </candidateList>
      <explain/>
      <paraID>54755421</paraID>
      <start>22</start>
      <end>23</end>
      <status>unmodified</status>
      <modifiedWord/>
      <trackRevisions>false</trackRevisions>
    </reviewItem>
    <reviewItem>
      <errorID>8f6f9024-d148-4f7b-b417-94a29e03237a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400AD3E9</paraID>
      <start>0</start>
      <end>3</end>
      <status>unmodified</status>
      <modifiedWord/>
      <trackRevisions>false</trackRevisions>
    </reviewItem>
    <reviewItem>
      <errorID>683488d9-439c-4275-949f-d58ae8e84d57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4863D2DC</paraID>
      <start>0</start>
      <end>2</end>
      <status>unmodified</status>
      <modifiedWord/>
      <trackRevisions>false</trackRevisions>
    </reviewItem>
    <reviewItem>
      <errorID>e98b6e8c-52bc-4c52-b92b-4197d56db22d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389D1E29</paraID>
      <start>0</start>
      <end>2</end>
      <status>unmodified</status>
      <modifiedWord/>
      <trackRevisions>false</trackRevisions>
    </reviewItem>
    <reviewItem>
      <errorID>42310bf4-3b24-46d4-9383-5afb99f5184c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75446B44</paraID>
      <start>0</start>
      <end>2</end>
      <status>unmodified</status>
      <modifiedWord/>
      <trackRevisions>false</trackRevisions>
    </reviewItem>
    <reviewItem>
      <errorID>7ae0d566-2b1c-4db6-a6c0-e7d3ff45ca62</errorID>
      <errorWord>(</errorWord>
      <group>L1_Format</group>
      <groupName>格式问题</groupName>
      <ability>L2_HalfPunc_CN</ability>
      <abilityName>全半角问题</abilityName>
      <candidateList>
        <item>（</item>
      </candidateList>
      <explain>文本全半角错误。</explain>
      <paraID>6BF7AFC0</paraID>
      <start>62</start>
      <end>63</end>
      <status>unmodified</status>
      <modifiedWord/>
      <trackRevisions>false</trackRevisions>
    </reviewItem>
    <reviewItem>
      <errorID>b92cf9e1-0536-4a76-a088-a048ef0001ab</errorID>
      <errorWord>)</errorWord>
      <group>L1_Format</group>
      <groupName>格式问题</groupName>
      <ability>L2_HalfPunc_CN</ability>
      <abilityName>全半角问题</abilityName>
      <candidateList>
        <item>）</item>
      </candidateList>
      <explain>文本全半角错误。</explain>
      <paraID>6BF7AFC0</paraID>
      <start>73</start>
      <end>74</end>
      <status>unmodified</status>
      <modifiedWord/>
      <trackRevisions>false</trackRevisions>
    </reviewItem>
    <reviewItem>
      <errorID>cfc8e28e-d3e3-4459-b5b9-baefe5ef1a13</errorID>
      <errorWord>~</errorWord>
      <group>L1_Format</group>
      <groupName>格式问题</groupName>
      <ability>L2_HalfPunc_CN</ability>
      <abilityName>全半角问题</abilityName>
      <candidateList>
        <item>～</item>
      </candidateList>
      <explain>文本全半角错误。</explain>
      <paraID>21608F46</paraID>
      <start>45</start>
      <end>46</end>
      <status>unmodified</status>
      <modifiedWord/>
      <trackRevisions>false</trackRevisions>
    </reviewItem>
    <reviewItem>
      <errorID>59d355a4-43f1-469b-a3d1-8f499f8a153f</errorID>
      <errorWord>~</errorWord>
      <group>L1_Format</group>
      <groupName>格式问题</groupName>
      <ability>L2_HalfPunc_CN</ability>
      <abilityName>全半角问题</abilityName>
      <candidateList>
        <item>～</item>
      </candidateList>
      <explain>文本全半角错误。</explain>
      <paraID>21608F46</paraID>
      <start>64</start>
      <end>65</end>
      <status>unmodified</status>
      <modifiedWord/>
      <trackRevisions>false</trackRevisions>
    </reviewItem>
    <reviewItem>
      <errorID>e3d597ad-37b8-451e-8c2e-3cb628290937</errorID>
      <errorWord>~</errorWord>
      <group>L1_Format</group>
      <groupName>格式问题</groupName>
      <ability>L2_HalfPunc_CN</ability>
      <abilityName>全半角问题</abilityName>
      <candidateList>
        <item>～</item>
      </candidateList>
      <explain>文本全半角错误。</explain>
      <paraID>21608F46</paraID>
      <start>98</start>
      <end>99</end>
      <status>unmodified</status>
      <modifiedWord/>
      <trackRevisions>false</trackRevisions>
    </reviewItem>
    <reviewItem>
      <errorID>740e3e3d-8091-4bf7-9a46-dc70a9d21b22</errorID>
      <errorWord>)</errorWord>
      <group>L1_Format</group>
      <groupName>格式问题</groupName>
      <ability>L2_HalfPunc_CN</ability>
      <abilityName>全半角问题</abilityName>
      <candidateList>
        <item>）</item>
      </candidateList>
      <explain>文本全半角错误。</explain>
      <paraID>5DBA734C</paraID>
      <start>106</start>
      <end>107</end>
      <status>unmodified</status>
      <modifiedWord/>
      <trackRevisions>false</trackRevisions>
    </reviewItem>
    <reviewItem>
      <errorID>371c09e2-5fc5-468c-8d58-b3fb67e3d29b</errorID>
      <errorWord>~</errorWord>
      <group>L1_Format</group>
      <groupName>格式问题</groupName>
      <ability>L2_HalfPunc_CN</ability>
      <abilityName>全半角问题</abilityName>
      <candidateList>
        <item>～</item>
      </candidateList>
      <explain>文本全半角错误。</explain>
      <paraID>34D22030</paraID>
      <start>35</start>
      <end>36</end>
      <status>unmodified</status>
      <modifiedWord/>
      <trackRevisions>false</trackRevisions>
    </reviewItem>
    <reviewItem>
      <errorID>725a1755-445c-44cc-b8e1-806e238a2dce</errorID>
      <errorWord>~</errorWord>
      <group>L1_Format</group>
      <groupName>格式问题</groupName>
      <ability>L2_HalfPunc_CN</ability>
      <abilityName>全半角问题</abilityName>
      <candidateList>
        <item>～</item>
      </candidateList>
      <explain>文本全半角错误。</explain>
      <paraID>34D22030</paraID>
      <start>46</start>
      <end>47</end>
      <status>unmodified</status>
      <modifiedWord/>
      <trackRevisions>false</trackRevisions>
    </reviewItem>
    <reviewItem>
      <errorID>4277af7c-d53b-4e28-ac81-9373197399ad</errorID>
      <errorWord>~</errorWord>
      <group>L1_Format</group>
      <groupName>格式问题</groupName>
      <ability>L2_HalfPunc_CN</ability>
      <abilityName>全半角问题</abilityName>
      <candidateList>
        <item>～</item>
      </candidateList>
      <explain>文本全半角错误。</explain>
      <paraID> 51CCEFA</paraID>
      <start>43</start>
      <end>44</end>
      <status>unmodified</status>
      <modifiedWord/>
      <trackRevisions>false</trackRevisions>
    </reviewItem>
    <reviewItem>
      <errorID>4d914f3b-7331-459b-bb54-07400b529ed8</errorID>
      <errorWord>~</errorWord>
      <group>L1_Format</group>
      <groupName>格式问题</groupName>
      <ability>L2_HalfPunc_CN</ability>
      <abilityName>全半角问题</abilityName>
      <candidateList>
        <item>～</item>
      </candidateList>
      <explain>文本全半角错误。</explain>
      <paraID> 51CCEFA</paraID>
      <start>53</start>
      <end>54</end>
      <status>unmodified</status>
      <modifiedWord/>
      <trackRevisions>false</trackRevisions>
    </reviewItem>
  </reviewItems>
  <config/>
</contractReview>
</file>

<file path=customXml/itemProps1.xml><?xml version="1.0" encoding="utf-8"?>
<ds:datastoreItem xmlns:ds="http://schemas.openxmlformats.org/officeDocument/2006/customXml" ds:itemID="{04C7BD43-FD37-4CF5-91A5-281FE9C5A939}">
  <ds:schemaRefs/>
</ds:datastoreItem>
</file>

<file path=customXml/itemProps2.xml><?xml version="1.0" encoding="utf-8"?>
<ds:datastoreItem xmlns:ds="http://schemas.openxmlformats.org/officeDocument/2006/customXml" ds:itemID="{a73b2b4a-beef-4889-aa49-70a275070b2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2231</Words>
  <Characters>2380</Characters>
  <Lines>16</Lines>
  <Paragraphs>4</Paragraphs>
  <TotalTime>1</TotalTime>
  <ScaleCrop>false</ScaleCrop>
  <LinksUpToDate>false</LinksUpToDate>
  <CharactersWithSpaces>2409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2026-02-03T05:48:00Z</dcterms:created>
  <dc:creator>zyq</dc:creator>
  <cp:lastModifiedBy>张晏齐</cp:lastModifiedBy>
  <dcterms:modified xsi:type="dcterms:W3CDTF">2026-10-21T00:33:22Z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eyJoZGlkIjoiZWQ3YzIyODJiYzRiZWVkOWNjYjEwMTE4NjBjMjMzODQiLCJ1c2VySWQiOiIxNjg3MDQ4NTkxIn0=</vt:lpwstr>
  </property>
  <property fmtid="{D5CDD505-2E9C-101B-9397-08002B2CF9AE}" pid="3" name="KSOProductBuildVer">
    <vt:lpwstr>2052-12.1.0.29161</vt:lpwstr>
  </property>
  <property fmtid="{D5CDD505-2E9C-101B-9397-08002B2CF9AE}" pid="4" name="ICV">
    <vt:lpwstr>B13A0A2D6182423B8360D01F6943D682_13</vt:lpwstr>
  </property>
</Properties>
</file>