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37675">
      <w:pPr>
        <w:jc w:val="center"/>
        <w:rPr>
          <w:b/>
          <w:sz w:val="32"/>
          <w:szCs w:val="32"/>
        </w:rPr>
      </w:pPr>
      <w:r>
        <w:rPr>
          <w:rFonts w:hint="eastAsia"/>
          <w:b/>
          <w:sz w:val="32"/>
          <w:szCs w:val="32"/>
        </w:rPr>
        <w:t>上外语言科学研究院智能语料库教学科研平台技术升级采购项目需求表</w:t>
      </w:r>
    </w:p>
    <w:p w14:paraId="18E4448B">
      <w:pPr>
        <w:jc w:val="left"/>
        <w:rPr>
          <w:b/>
          <w:sz w:val="24"/>
          <w:szCs w:val="24"/>
        </w:rPr>
      </w:pPr>
    </w:p>
    <w:p w14:paraId="08263A67">
      <w:pPr>
        <w:pStyle w:val="15"/>
        <w:numPr>
          <w:ilvl w:val="0"/>
          <w:numId w:val="1"/>
        </w:numPr>
        <w:spacing w:line="360" w:lineRule="auto"/>
        <w:ind w:left="562" w:hanging="561" w:hangingChars="200"/>
        <w:jc w:val="left"/>
        <w:rPr>
          <w:rFonts w:ascii="宋体" w:hAnsi="宋体"/>
          <w:b/>
          <w:sz w:val="28"/>
          <w:szCs w:val="28"/>
        </w:rPr>
      </w:pPr>
      <w:r>
        <w:rPr>
          <w:rFonts w:ascii="宋体" w:hAnsi="宋体"/>
          <w:b/>
          <w:sz w:val="28"/>
          <w:szCs w:val="28"/>
        </w:rPr>
        <w:t>总体要求</w:t>
      </w:r>
    </w:p>
    <w:p w14:paraId="3D9B33D8">
      <w:pPr>
        <w:pStyle w:val="15"/>
        <w:numPr>
          <w:ilvl w:val="0"/>
          <w:numId w:val="2"/>
        </w:numPr>
        <w:spacing w:line="360" w:lineRule="auto"/>
        <w:ind w:left="480" w:hanging="480" w:hangingChars="200"/>
        <w:jc w:val="left"/>
        <w:rPr>
          <w:rFonts w:ascii="宋体" w:hAnsi="宋体"/>
          <w:sz w:val="24"/>
          <w:szCs w:val="24"/>
        </w:rPr>
      </w:pPr>
      <w:r>
        <w:rPr>
          <w:rFonts w:ascii="宋体" w:hAnsi="宋体"/>
          <w:sz w:val="24"/>
          <w:szCs w:val="24"/>
        </w:rPr>
        <w:t>经费来源</w:t>
      </w:r>
    </w:p>
    <w:tbl>
      <w:tblPr>
        <w:tblStyle w:val="10"/>
        <w:tblW w:w="6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6232"/>
      </w:tblGrid>
      <w:tr w14:paraId="721AC93B">
        <w:tc>
          <w:tcPr>
            <w:tcW w:w="567" w:type="dxa"/>
            <w:vAlign w:val="center"/>
          </w:tcPr>
          <w:p w14:paraId="0620C8AD">
            <w:pPr>
              <w:jc w:val="left"/>
              <w:rPr>
                <w:rFonts w:ascii="宋体" w:hAnsi="宋体"/>
                <w:szCs w:val="21"/>
              </w:rPr>
            </w:pPr>
            <w:r>
              <w:rPr>
                <w:rFonts w:ascii="宋体" w:hAnsi="宋体"/>
                <w:szCs w:val="21"/>
              </w:rPr>
              <w:sym w:font="Wingdings 2" w:char="00A3"/>
            </w:r>
          </w:p>
        </w:tc>
        <w:tc>
          <w:tcPr>
            <w:tcW w:w="6232" w:type="dxa"/>
            <w:vAlign w:val="center"/>
          </w:tcPr>
          <w:p w14:paraId="32BF5B35">
            <w:pPr>
              <w:jc w:val="left"/>
              <w:rPr>
                <w:rFonts w:ascii="宋体" w:hAnsi="宋体"/>
                <w:szCs w:val="21"/>
              </w:rPr>
            </w:pPr>
            <w:r>
              <w:rPr>
                <w:rFonts w:ascii="宋体" w:hAnsi="宋体"/>
                <w:szCs w:val="21"/>
              </w:rPr>
              <w:t>教育部修购经费</w:t>
            </w:r>
          </w:p>
        </w:tc>
      </w:tr>
      <w:tr w14:paraId="06CEA052">
        <w:tc>
          <w:tcPr>
            <w:tcW w:w="567" w:type="dxa"/>
            <w:vAlign w:val="center"/>
          </w:tcPr>
          <w:p w14:paraId="08A6D97E">
            <w:pPr>
              <w:jc w:val="left"/>
              <w:rPr>
                <w:rFonts w:ascii="宋体" w:hAnsi="宋体"/>
                <w:szCs w:val="21"/>
              </w:rPr>
            </w:pPr>
            <w:r>
              <w:rPr>
                <w:rFonts w:ascii="宋体" w:hAnsi="宋体"/>
                <w:szCs w:val="21"/>
              </w:rPr>
              <w:t>□</w:t>
            </w:r>
          </w:p>
        </w:tc>
        <w:tc>
          <w:tcPr>
            <w:tcW w:w="6232" w:type="dxa"/>
            <w:vAlign w:val="center"/>
          </w:tcPr>
          <w:p w14:paraId="03F27066">
            <w:pPr>
              <w:jc w:val="left"/>
              <w:rPr>
                <w:rFonts w:ascii="宋体" w:hAnsi="宋体"/>
                <w:szCs w:val="21"/>
              </w:rPr>
            </w:pPr>
            <w:r>
              <w:rPr>
                <w:rFonts w:ascii="宋体" w:hAnsi="宋体"/>
                <w:szCs w:val="21"/>
              </w:rPr>
              <w:t>教学设备费</w:t>
            </w:r>
          </w:p>
        </w:tc>
      </w:tr>
      <w:tr w14:paraId="6981C934">
        <w:tc>
          <w:tcPr>
            <w:tcW w:w="567" w:type="dxa"/>
            <w:vAlign w:val="center"/>
          </w:tcPr>
          <w:p w14:paraId="3FE92429">
            <w:pPr>
              <w:jc w:val="left"/>
              <w:rPr>
                <w:rFonts w:ascii="宋体" w:hAnsi="宋体"/>
                <w:szCs w:val="21"/>
              </w:rPr>
            </w:pPr>
            <w:r>
              <w:rPr>
                <w:rFonts w:ascii="宋体" w:hAnsi="宋体"/>
                <w:szCs w:val="21"/>
              </w:rPr>
              <w:t>□</w:t>
            </w:r>
          </w:p>
        </w:tc>
        <w:tc>
          <w:tcPr>
            <w:tcW w:w="6232" w:type="dxa"/>
            <w:vAlign w:val="center"/>
          </w:tcPr>
          <w:p w14:paraId="6E1CFF79">
            <w:pPr>
              <w:jc w:val="left"/>
              <w:rPr>
                <w:rFonts w:ascii="宋体" w:hAnsi="宋体"/>
                <w:szCs w:val="21"/>
              </w:rPr>
            </w:pPr>
            <w:r>
              <w:rPr>
                <w:rFonts w:ascii="宋体" w:hAnsi="宋体"/>
                <w:szCs w:val="21"/>
              </w:rPr>
              <w:t>行政设备费</w:t>
            </w:r>
          </w:p>
        </w:tc>
      </w:tr>
      <w:tr w14:paraId="54E8723D">
        <w:tc>
          <w:tcPr>
            <w:tcW w:w="567" w:type="dxa"/>
            <w:vAlign w:val="center"/>
          </w:tcPr>
          <w:p w14:paraId="3310C0A9">
            <w:pPr>
              <w:jc w:val="left"/>
              <w:rPr>
                <w:rFonts w:ascii="宋体" w:hAnsi="宋体"/>
                <w:szCs w:val="21"/>
              </w:rPr>
            </w:pPr>
            <w:r>
              <w:rPr>
                <w:rFonts w:hint="eastAsia" w:ascii="宋体" w:hAnsi="宋体"/>
                <w:szCs w:val="21"/>
              </w:rPr>
              <w:t>☑</w:t>
            </w:r>
          </w:p>
        </w:tc>
        <w:tc>
          <w:tcPr>
            <w:tcW w:w="6232" w:type="dxa"/>
            <w:vAlign w:val="center"/>
          </w:tcPr>
          <w:p w14:paraId="24BBD509">
            <w:pPr>
              <w:jc w:val="left"/>
              <w:rPr>
                <w:rFonts w:ascii="宋体" w:hAnsi="宋体"/>
                <w:szCs w:val="21"/>
              </w:rPr>
            </w:pPr>
            <w:r>
              <w:rPr>
                <w:rFonts w:ascii="宋体" w:hAnsi="宋体"/>
                <w:szCs w:val="21"/>
              </w:rPr>
              <w:t xml:space="preserve">其他专项经费请注明： </w:t>
            </w:r>
          </w:p>
        </w:tc>
      </w:tr>
    </w:tbl>
    <w:p w14:paraId="7473824C">
      <w:pPr>
        <w:pStyle w:val="15"/>
        <w:numPr>
          <w:ilvl w:val="0"/>
          <w:numId w:val="2"/>
        </w:numPr>
        <w:spacing w:line="360" w:lineRule="auto"/>
        <w:ind w:firstLineChars="0"/>
        <w:jc w:val="left"/>
        <w:rPr>
          <w:rFonts w:ascii="宋体" w:hAnsi="宋体"/>
          <w:sz w:val="24"/>
          <w:szCs w:val="24"/>
        </w:rPr>
      </w:pPr>
      <w:r>
        <w:rPr>
          <w:rFonts w:ascii="宋体" w:hAnsi="宋体"/>
          <w:sz w:val="24"/>
          <w:szCs w:val="24"/>
        </w:rPr>
        <w:t>本项目总金额：</w:t>
      </w:r>
      <w:r>
        <w:rPr>
          <w:rFonts w:hint="eastAsia" w:ascii="宋体" w:hAnsi="宋体" w:cs="宋体"/>
          <w:b/>
          <w:color w:val="000000"/>
          <w:kern w:val="0"/>
          <w:sz w:val="24"/>
          <w:szCs w:val="24"/>
          <w:u w:val="single"/>
        </w:rPr>
        <w:t>¥8万</w:t>
      </w:r>
    </w:p>
    <w:p w14:paraId="0E5A8C48">
      <w:pPr>
        <w:pStyle w:val="15"/>
        <w:numPr>
          <w:ilvl w:val="0"/>
          <w:numId w:val="2"/>
        </w:numPr>
        <w:spacing w:line="360" w:lineRule="auto"/>
        <w:ind w:firstLineChars="0"/>
        <w:jc w:val="left"/>
        <w:rPr>
          <w:rFonts w:ascii="宋体" w:hAnsi="宋体"/>
          <w:sz w:val="24"/>
          <w:szCs w:val="24"/>
        </w:rPr>
      </w:pPr>
      <w:r>
        <w:rPr>
          <w:rFonts w:ascii="宋体" w:hAnsi="宋体"/>
          <w:sz w:val="24"/>
          <w:szCs w:val="24"/>
        </w:rPr>
        <w:t xml:space="preserve">项目申报部门： </w:t>
      </w:r>
      <w:r>
        <w:rPr>
          <w:rFonts w:hint="eastAsia" w:ascii="宋体" w:hAnsi="宋体"/>
          <w:sz w:val="24"/>
          <w:szCs w:val="24"/>
        </w:rPr>
        <w:t>语言科学研究院</w:t>
      </w:r>
    </w:p>
    <w:p w14:paraId="42C46492">
      <w:pPr>
        <w:pStyle w:val="15"/>
        <w:spacing w:line="360" w:lineRule="auto"/>
        <w:ind w:left="480" w:hanging="480" w:hangingChars="200"/>
        <w:jc w:val="left"/>
        <w:rPr>
          <w:rFonts w:ascii="宋体" w:hAnsi="宋体"/>
          <w:sz w:val="24"/>
          <w:szCs w:val="24"/>
          <w:u w:val="single"/>
        </w:rPr>
      </w:pPr>
      <w:r>
        <w:rPr>
          <w:rFonts w:ascii="宋体" w:hAnsi="宋体"/>
          <w:sz w:val="24"/>
          <w:szCs w:val="24"/>
        </w:rPr>
        <w:t>项目负责人：</w:t>
      </w:r>
      <w:r>
        <w:rPr>
          <w:rFonts w:hint="eastAsia" w:ascii="宋体" w:hAnsi="宋体"/>
          <w:sz w:val="24"/>
          <w:szCs w:val="24"/>
          <w:u w:val="single"/>
        </w:rPr>
        <w:t>胡开宝</w:t>
      </w:r>
    </w:p>
    <w:p w14:paraId="03531AA5">
      <w:pPr>
        <w:pStyle w:val="15"/>
        <w:spacing w:line="360" w:lineRule="auto"/>
        <w:ind w:left="480" w:hanging="480" w:hangingChars="200"/>
        <w:jc w:val="left"/>
        <w:rPr>
          <w:rFonts w:ascii="宋体" w:hAnsi="宋体"/>
          <w:sz w:val="24"/>
          <w:szCs w:val="24"/>
          <w:u w:val="single"/>
        </w:rPr>
      </w:pPr>
      <w:r>
        <w:rPr>
          <w:rFonts w:ascii="宋体" w:hAnsi="宋体"/>
          <w:sz w:val="24"/>
          <w:szCs w:val="24"/>
        </w:rPr>
        <w:t>项目联络人：</w:t>
      </w:r>
      <w:r>
        <w:rPr>
          <w:rFonts w:hint="eastAsia" w:ascii="宋体" w:hAnsi="宋体"/>
          <w:sz w:val="24"/>
          <w:szCs w:val="24"/>
          <w:u w:val="single"/>
        </w:rPr>
        <w:t>张凯</w:t>
      </w:r>
    </w:p>
    <w:p w14:paraId="2631EB1C">
      <w:pPr>
        <w:pStyle w:val="15"/>
        <w:spacing w:line="360" w:lineRule="auto"/>
        <w:ind w:left="480" w:hanging="480" w:hangingChars="200"/>
        <w:jc w:val="left"/>
        <w:rPr>
          <w:rFonts w:ascii="宋体" w:hAnsi="宋体"/>
          <w:sz w:val="24"/>
          <w:szCs w:val="24"/>
          <w:u w:val="single"/>
        </w:rPr>
      </w:pPr>
      <w:r>
        <w:rPr>
          <w:rFonts w:ascii="宋体" w:hAnsi="宋体"/>
          <w:sz w:val="24"/>
          <w:szCs w:val="24"/>
        </w:rPr>
        <w:t>联系电话：</w:t>
      </w:r>
      <w:r>
        <w:rPr>
          <w:rFonts w:hint="eastAsia" w:ascii="宋体" w:hAnsi="宋体"/>
          <w:sz w:val="24"/>
          <w:szCs w:val="24"/>
        </w:rPr>
        <w:t>1</w:t>
      </w:r>
      <w:r>
        <w:rPr>
          <w:rFonts w:ascii="宋体" w:hAnsi="宋体"/>
          <w:sz w:val="24"/>
          <w:szCs w:val="24"/>
        </w:rPr>
        <w:t>8061256876</w:t>
      </w:r>
    </w:p>
    <w:p w14:paraId="6415495E">
      <w:pPr>
        <w:pStyle w:val="15"/>
        <w:spacing w:line="360" w:lineRule="auto"/>
        <w:ind w:left="480" w:hanging="480" w:hangingChars="200"/>
        <w:jc w:val="left"/>
        <w:rPr>
          <w:rFonts w:ascii="宋体" w:hAnsi="宋体"/>
          <w:sz w:val="24"/>
          <w:szCs w:val="24"/>
          <w:u w:val="single"/>
        </w:rPr>
      </w:pPr>
      <w:r>
        <w:rPr>
          <w:rFonts w:ascii="宋体" w:hAnsi="宋体"/>
          <w:sz w:val="24"/>
          <w:szCs w:val="24"/>
        </w:rPr>
        <w:t>手机：</w:t>
      </w:r>
      <w:r>
        <w:rPr>
          <w:rFonts w:hint="eastAsia" w:ascii="宋体" w:hAnsi="宋体"/>
          <w:sz w:val="24"/>
          <w:szCs w:val="24"/>
        </w:rPr>
        <w:t>1</w:t>
      </w:r>
      <w:r>
        <w:rPr>
          <w:rFonts w:ascii="宋体" w:hAnsi="宋体"/>
          <w:sz w:val="24"/>
          <w:szCs w:val="24"/>
        </w:rPr>
        <w:t>8061256876</w:t>
      </w:r>
    </w:p>
    <w:p w14:paraId="1FAC94D6">
      <w:pPr>
        <w:pStyle w:val="15"/>
        <w:spacing w:line="360" w:lineRule="auto"/>
        <w:ind w:left="480" w:hanging="480" w:hangingChars="200"/>
        <w:jc w:val="left"/>
        <w:rPr>
          <w:rFonts w:ascii="宋体" w:hAnsi="宋体"/>
          <w:sz w:val="24"/>
          <w:szCs w:val="24"/>
        </w:rPr>
      </w:pPr>
      <w:r>
        <w:rPr>
          <w:rFonts w:ascii="宋体" w:hAnsi="宋体"/>
          <w:sz w:val="24"/>
          <w:szCs w:val="24"/>
        </w:rPr>
        <w:t>邮件地址：</w:t>
      </w:r>
      <w:r>
        <w:rPr>
          <w:rFonts w:hint="eastAsia" w:ascii="宋体" w:hAnsi="宋体"/>
          <w:sz w:val="24"/>
          <w:szCs w:val="24"/>
        </w:rPr>
        <w:t>2</w:t>
      </w:r>
      <w:r>
        <w:rPr>
          <w:rFonts w:ascii="宋体" w:hAnsi="宋体"/>
          <w:sz w:val="24"/>
          <w:szCs w:val="24"/>
        </w:rPr>
        <w:t>019376</w:t>
      </w:r>
      <w:r>
        <w:rPr>
          <w:rFonts w:hint="eastAsia" w:ascii="宋体" w:hAnsi="宋体"/>
          <w:sz w:val="24"/>
          <w:szCs w:val="24"/>
        </w:rPr>
        <w:t>@shi</w:t>
      </w:r>
      <w:r>
        <w:rPr>
          <w:rFonts w:ascii="宋体" w:hAnsi="宋体"/>
          <w:sz w:val="24"/>
          <w:szCs w:val="24"/>
        </w:rPr>
        <w:t>su.edu.cn</w:t>
      </w:r>
    </w:p>
    <w:p w14:paraId="46913C77">
      <w:pPr>
        <w:pStyle w:val="15"/>
        <w:numPr>
          <w:ilvl w:val="0"/>
          <w:numId w:val="2"/>
        </w:numPr>
        <w:spacing w:line="360" w:lineRule="auto"/>
        <w:ind w:firstLineChars="0"/>
        <w:jc w:val="left"/>
        <w:rPr>
          <w:rFonts w:ascii="宋体" w:hAnsi="宋体"/>
          <w:spacing w:val="-2"/>
          <w:sz w:val="24"/>
          <w:szCs w:val="24"/>
        </w:rPr>
      </w:pPr>
      <w:r>
        <w:rPr>
          <w:rFonts w:hint="eastAsia" w:ascii="宋体" w:hAnsi="宋体"/>
          <w:sz w:val="24"/>
          <w:szCs w:val="24"/>
        </w:rPr>
        <w:t>设计方案</w:t>
      </w:r>
    </w:p>
    <w:p w14:paraId="250DB77C">
      <w:pPr>
        <w:numPr>
          <w:ilvl w:val="0"/>
          <w:numId w:val="3"/>
        </w:numPr>
        <w:spacing w:line="360" w:lineRule="auto"/>
        <w:ind w:firstLine="480" w:firstLineChars="200"/>
        <w:jc w:val="left"/>
        <w:rPr>
          <w:rFonts w:ascii="宋体" w:hAnsi="宋体"/>
          <w:sz w:val="24"/>
          <w:szCs w:val="24"/>
        </w:rPr>
      </w:pPr>
      <w:r>
        <w:rPr>
          <w:rFonts w:ascii="宋体" w:hAnsi="宋体" w:eastAsia="宋体" w:cs="宋体"/>
          <w:sz w:val="24"/>
          <w:szCs w:val="24"/>
        </w:rPr>
        <w:t>系统建设目标：采购</w:t>
      </w:r>
      <w:bookmarkStart w:id="1" w:name="_GoBack"/>
      <w:bookmarkEnd w:id="1"/>
      <w:r>
        <w:rPr>
          <w:rStyle w:val="13"/>
          <w:rFonts w:ascii="宋体" w:hAnsi="宋体" w:eastAsia="宋体" w:cs="宋体"/>
          <w:b/>
          <w:bCs/>
          <w:color w:val="000000"/>
          <w:sz w:val="24"/>
          <w:szCs w:val="24"/>
        </w:rPr>
        <w:t>智能语料库教学科研平台软件系统</w:t>
      </w:r>
      <w:r>
        <w:rPr>
          <w:rFonts w:ascii="宋体" w:hAnsi="宋体" w:eastAsia="宋体" w:cs="宋体"/>
          <w:sz w:val="24"/>
          <w:szCs w:val="24"/>
        </w:rPr>
        <w:t>，搭建面向院校语言学科的多语种语料加工分析</w:t>
      </w:r>
      <w:r>
        <w:rPr>
          <w:rFonts w:ascii="宋体" w:hAnsi="宋体"/>
          <w:sz w:val="24"/>
          <w:szCs w:val="24"/>
        </w:rPr>
        <w:t>环境，支撑高质量语料库研发中心科研、翻译教学、平行语料加工、术语典故资源管理业务开展。</w:t>
      </w:r>
    </w:p>
    <w:p w14:paraId="498DA3B7">
      <w:pPr>
        <w:numPr>
          <w:ilvl w:val="0"/>
          <w:numId w:val="3"/>
        </w:numPr>
        <w:spacing w:line="360" w:lineRule="auto"/>
        <w:ind w:firstLine="480" w:firstLineChars="200"/>
        <w:jc w:val="left"/>
        <w:rPr>
          <w:rFonts w:ascii="宋体" w:hAnsi="宋体"/>
          <w:sz w:val="24"/>
          <w:szCs w:val="24"/>
        </w:rPr>
      </w:pPr>
      <w:r>
        <w:rPr>
          <w:rFonts w:ascii="宋体" w:hAnsi="宋体"/>
          <w:sz w:val="24"/>
          <w:szCs w:val="24"/>
        </w:rPr>
        <w:t>系统组成范围：软件包含面向教师学生使用的用户访问前端、面向管理员运维配置的后台管理系统两大子系统，两套子系统共用同一后端服务与数据库，不可拆分独立使用。</w:t>
      </w:r>
    </w:p>
    <w:p w14:paraId="722952B7">
      <w:pPr>
        <w:numPr>
          <w:ilvl w:val="0"/>
          <w:numId w:val="3"/>
        </w:numPr>
        <w:spacing w:line="360" w:lineRule="auto"/>
        <w:ind w:firstLine="480" w:firstLineChars="200"/>
        <w:jc w:val="left"/>
        <w:rPr>
          <w:rFonts w:ascii="宋体" w:hAnsi="宋体"/>
          <w:sz w:val="24"/>
          <w:szCs w:val="24"/>
        </w:rPr>
      </w:pPr>
      <w:r>
        <w:rPr>
          <w:rFonts w:ascii="宋体" w:hAnsi="宋体"/>
          <w:sz w:val="24"/>
          <w:szCs w:val="24"/>
        </w:rPr>
        <w:t>供应商交付范围：供应商须提供软件部署适配、安装调试、功能联调、用户操作培训、全套文档、质保期技术支持交钥匙服务；软件须完整实现公共语料库、个人私有语料库、教学应用、科研量化分析、术语典故文献后台管理全部能力，适配高校多语种平行语料库建设的业务场景。</w:t>
      </w:r>
    </w:p>
    <w:p w14:paraId="36572813">
      <w:pPr>
        <w:rPr>
          <w:rFonts w:ascii="宋体" w:hAnsi="宋体"/>
          <w:sz w:val="24"/>
          <w:szCs w:val="24"/>
        </w:rPr>
      </w:pPr>
      <w:r>
        <w:rPr>
          <w:rFonts w:ascii="宋体" w:hAnsi="宋体"/>
          <w:sz w:val="24"/>
          <w:szCs w:val="24"/>
        </w:rPr>
        <w:br w:type="page"/>
      </w:r>
    </w:p>
    <w:p w14:paraId="48A92277">
      <w:pPr>
        <w:pStyle w:val="15"/>
        <w:numPr>
          <w:ilvl w:val="0"/>
          <w:numId w:val="1"/>
        </w:numPr>
        <w:spacing w:line="360" w:lineRule="auto"/>
        <w:ind w:firstLineChars="0"/>
        <w:jc w:val="left"/>
        <w:rPr>
          <w:rFonts w:ascii="宋体" w:hAnsi="宋体"/>
          <w:b/>
          <w:sz w:val="28"/>
          <w:szCs w:val="28"/>
        </w:rPr>
      </w:pPr>
      <w:r>
        <w:rPr>
          <w:rFonts w:ascii="宋体" w:hAnsi="宋体"/>
          <w:b/>
          <w:sz w:val="28"/>
          <w:szCs w:val="28"/>
        </w:rPr>
        <w:t>设备规格参数及预算（如有进口商品，请注明进口）</w:t>
      </w:r>
    </w:p>
    <w:p w14:paraId="1B9C0699">
      <w:pPr>
        <w:pStyle w:val="15"/>
        <w:numPr>
          <w:ilvl w:val="0"/>
          <w:numId w:val="4"/>
        </w:numPr>
        <w:spacing w:line="360" w:lineRule="auto"/>
        <w:ind w:firstLineChars="0"/>
        <w:jc w:val="left"/>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软</w:t>
      </w:r>
      <w:r>
        <w:rPr>
          <w:rFonts w:asciiTheme="minorEastAsia" w:hAnsiTheme="minorEastAsia" w:eastAsiaTheme="minorEastAsia"/>
          <w:b/>
          <w:bCs/>
          <w:sz w:val="24"/>
          <w:szCs w:val="24"/>
        </w:rPr>
        <w:t>硬件部分</w:t>
      </w:r>
    </w:p>
    <w:p w14:paraId="150263EE">
      <w:pPr>
        <w:pStyle w:val="15"/>
        <w:spacing w:line="360" w:lineRule="auto"/>
        <w:ind w:firstLine="0" w:firstLineChars="0"/>
        <w:jc w:val="left"/>
        <w:rPr>
          <w:rStyle w:val="13"/>
          <w:rFonts w:ascii="宋体" w:hAnsi="宋体" w:cs="宋体"/>
          <w:b w:val="0"/>
          <w:color w:val="000000"/>
          <w:sz w:val="24"/>
          <w:szCs w:val="24"/>
        </w:rPr>
      </w:pPr>
      <w:r>
        <w:rPr>
          <w:rStyle w:val="13"/>
          <w:rFonts w:hint="eastAsia" w:ascii="宋体" w:hAnsi="宋体" w:cs="宋体"/>
          <w:b w:val="0"/>
          <w:color w:val="000000"/>
          <w:sz w:val="24"/>
          <w:szCs w:val="24"/>
        </w:rPr>
        <w:t>硬件部分：</w:t>
      </w:r>
    </w:p>
    <w:p w14:paraId="2A3865F7">
      <w:pPr>
        <w:pStyle w:val="15"/>
        <w:spacing w:line="360" w:lineRule="auto"/>
        <w:ind w:firstLine="480"/>
        <w:jc w:val="left"/>
        <w:rPr>
          <w:rFonts w:ascii="宋体" w:hAnsi="宋体" w:cs="宋体"/>
          <w:sz w:val="24"/>
          <w:szCs w:val="24"/>
        </w:rPr>
      </w:pPr>
      <w:r>
        <w:rPr>
          <w:rStyle w:val="13"/>
          <w:rFonts w:ascii="宋体" w:hAnsi="宋体" w:cs="宋体"/>
          <w:b w:val="0"/>
          <w:color w:val="000000"/>
          <w:sz w:val="24"/>
          <w:szCs w:val="24"/>
        </w:rPr>
        <w:t>无，本项目仅采购软件系统及配套实施服务，不含硬件设备采购</w:t>
      </w:r>
      <w:r>
        <w:rPr>
          <w:rFonts w:ascii="宋体" w:hAnsi="宋体" w:cs="宋体"/>
          <w:sz w:val="24"/>
          <w:szCs w:val="24"/>
        </w:rPr>
        <w:t>。说明：软件系统部署依托甲方现有服务器环境，供应商负责软件安装部署适配，完成系统调通运行。</w:t>
      </w:r>
    </w:p>
    <w:p w14:paraId="25C7FE35">
      <w:pPr>
        <w:jc w:val="left"/>
        <w:rPr>
          <w:rFonts w:hint="eastAsia" w:asciiTheme="minorEastAsia" w:hAnsiTheme="minorEastAsia" w:eastAsiaTheme="minorEastAsia"/>
          <w:sz w:val="24"/>
          <w:szCs w:val="24"/>
        </w:rPr>
      </w:pPr>
      <w:r>
        <w:rPr>
          <w:rFonts w:asciiTheme="minorEastAsia" w:hAnsiTheme="minorEastAsia" w:eastAsiaTheme="minorEastAsia"/>
          <w:sz w:val="24"/>
          <w:szCs w:val="24"/>
        </w:rPr>
        <w:t>软件部分</w:t>
      </w:r>
      <w:r>
        <w:rPr>
          <w:rFonts w:hint="eastAsia" w:asciiTheme="minorEastAsia" w:hAnsiTheme="minorEastAsia" w:eastAsiaTheme="minorEastAsia"/>
          <w:sz w:val="24"/>
          <w:szCs w:val="24"/>
        </w:rPr>
        <w:t>：</w:t>
      </w:r>
    </w:p>
    <w:p w14:paraId="2AEC4E6F">
      <w:pPr>
        <w:pStyle w:val="15"/>
        <w:spacing w:line="360" w:lineRule="auto"/>
        <w:ind w:firstLine="480"/>
        <w:jc w:val="left"/>
        <w:rPr>
          <w:rFonts w:hint="eastAsia" w:asciiTheme="minorEastAsia" w:hAnsiTheme="minorEastAsia" w:eastAsiaTheme="minorEastAsia"/>
          <w:b/>
          <w:bCs/>
          <w:sz w:val="24"/>
          <w:szCs w:val="24"/>
        </w:rPr>
      </w:pPr>
      <w:r>
        <w:rPr>
          <w:bCs/>
          <w:sz w:val="24"/>
          <w:szCs w:val="24"/>
        </w:rPr>
        <w:t>核心功能需求</w:t>
      </w:r>
      <w:r>
        <w:rPr>
          <w:rFonts w:hint="eastAsia"/>
          <w:bCs/>
          <w:sz w:val="24"/>
          <w:szCs w:val="24"/>
        </w:rPr>
        <w:t>如下：</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2662"/>
        <w:gridCol w:w="5738"/>
      </w:tblGrid>
      <w:tr w14:paraId="303F7B83">
        <w:tc>
          <w:tcPr>
            <w:tcW w:w="1000" w:type="dxa"/>
            <w:vAlign w:val="center"/>
          </w:tcPr>
          <w:p w14:paraId="57FA036B">
            <w:pPr>
              <w:jc w:val="center"/>
              <w:rPr>
                <w:rFonts w:ascii="宋体" w:hAnsi="宋体" w:cs="宋体"/>
                <w:szCs w:val="21"/>
              </w:rPr>
            </w:pPr>
            <w:r>
              <w:rPr>
                <w:rFonts w:hint="eastAsia" w:ascii="宋体" w:hAnsi="宋体" w:cs="宋体"/>
                <w:szCs w:val="21"/>
              </w:rPr>
              <w:t>序号</w:t>
            </w:r>
          </w:p>
        </w:tc>
        <w:tc>
          <w:tcPr>
            <w:tcW w:w="2662" w:type="dxa"/>
            <w:vAlign w:val="center"/>
          </w:tcPr>
          <w:p w14:paraId="2C13FF60">
            <w:pPr>
              <w:jc w:val="center"/>
              <w:rPr>
                <w:rFonts w:ascii="宋体" w:hAnsi="宋体" w:cs="宋体"/>
                <w:szCs w:val="21"/>
              </w:rPr>
            </w:pPr>
            <w:r>
              <w:rPr>
                <w:rFonts w:hint="eastAsia" w:ascii="宋体" w:hAnsi="宋体" w:cs="宋体"/>
                <w:szCs w:val="21"/>
              </w:rPr>
              <w:t>功能模块</w:t>
            </w:r>
          </w:p>
        </w:tc>
        <w:tc>
          <w:tcPr>
            <w:tcW w:w="5738" w:type="dxa"/>
            <w:vAlign w:val="center"/>
          </w:tcPr>
          <w:p w14:paraId="35C655CC">
            <w:pPr>
              <w:jc w:val="center"/>
              <w:rPr>
                <w:rFonts w:ascii="宋体" w:hAnsi="宋体" w:cs="宋体"/>
                <w:szCs w:val="21"/>
              </w:rPr>
            </w:pPr>
            <w:r>
              <w:rPr>
                <w:rFonts w:hint="eastAsia" w:ascii="宋体" w:hAnsi="宋体" w:cs="宋体"/>
                <w:szCs w:val="21"/>
              </w:rPr>
              <w:t>详细技术需求描述</w:t>
            </w:r>
          </w:p>
        </w:tc>
      </w:tr>
      <w:tr w14:paraId="18C176BF">
        <w:tc>
          <w:tcPr>
            <w:tcW w:w="1000" w:type="dxa"/>
            <w:vAlign w:val="center"/>
          </w:tcPr>
          <w:p w14:paraId="474CDE6C">
            <w:pPr>
              <w:jc w:val="center"/>
              <w:rPr>
                <w:rFonts w:ascii="宋体" w:hAnsi="宋体" w:cs="宋体"/>
                <w:szCs w:val="21"/>
              </w:rPr>
            </w:pPr>
            <w:r>
              <w:rPr>
                <w:rFonts w:hint="eastAsia" w:ascii="宋体" w:hAnsi="宋体" w:cs="宋体"/>
                <w:szCs w:val="21"/>
              </w:rPr>
              <w:t>1</w:t>
            </w:r>
          </w:p>
        </w:tc>
        <w:tc>
          <w:tcPr>
            <w:tcW w:w="2662" w:type="dxa"/>
            <w:vAlign w:val="center"/>
          </w:tcPr>
          <w:p w14:paraId="3882FF20">
            <w:pPr>
              <w:jc w:val="center"/>
              <w:rPr>
                <w:rFonts w:ascii="宋体" w:hAnsi="宋体" w:cs="宋体"/>
                <w:szCs w:val="21"/>
              </w:rPr>
            </w:pPr>
            <w:r>
              <w:rPr>
                <w:rFonts w:hint="eastAsia" w:ascii="宋体" w:hAnsi="宋体" w:cs="宋体"/>
                <w:szCs w:val="21"/>
              </w:rPr>
              <w:t>平台门户及用户登录注册</w:t>
            </w:r>
          </w:p>
        </w:tc>
        <w:tc>
          <w:tcPr>
            <w:tcW w:w="5738" w:type="dxa"/>
            <w:vAlign w:val="center"/>
          </w:tcPr>
          <w:p w14:paraId="6AB787D0">
            <w:pPr>
              <w:rPr>
                <w:rFonts w:ascii="宋体" w:hAnsi="宋体" w:cs="宋体"/>
                <w:szCs w:val="21"/>
              </w:rPr>
            </w:pPr>
            <w:r>
              <w:rPr>
                <w:rFonts w:hint="eastAsia" w:ascii="宋体" w:hAnsi="宋体" w:cs="宋体"/>
                <w:szCs w:val="21"/>
              </w:rPr>
              <w:t>1. 具备 Web 门户首页，展示平台简介、公共语料资源、平台核心能力；2. 支持账号密码、邮箱、手机号三种登录方式，支持邮箱 / 手机验证码找回密码；3. 支持用户注册，注册信息包含姓名、院校机构、手机号等字段；4. 用户中心支持查看账户状态、修改密码、登出操作。</w:t>
            </w:r>
          </w:p>
        </w:tc>
      </w:tr>
      <w:tr w14:paraId="0B5ABD3F">
        <w:tc>
          <w:tcPr>
            <w:tcW w:w="1000" w:type="dxa"/>
            <w:vAlign w:val="center"/>
          </w:tcPr>
          <w:p w14:paraId="4A1D5540">
            <w:pPr>
              <w:jc w:val="center"/>
              <w:rPr>
                <w:rFonts w:ascii="宋体" w:hAnsi="宋体" w:cs="宋体"/>
                <w:szCs w:val="21"/>
              </w:rPr>
            </w:pPr>
            <w:r>
              <w:rPr>
                <w:rFonts w:hint="eastAsia" w:ascii="宋体" w:hAnsi="宋体" w:cs="宋体"/>
                <w:szCs w:val="21"/>
              </w:rPr>
              <w:t>2</w:t>
            </w:r>
          </w:p>
        </w:tc>
        <w:tc>
          <w:tcPr>
            <w:tcW w:w="2662" w:type="dxa"/>
            <w:vAlign w:val="center"/>
          </w:tcPr>
          <w:p w14:paraId="74EDEAE4">
            <w:pPr>
              <w:jc w:val="center"/>
              <w:rPr>
                <w:rFonts w:ascii="宋体" w:hAnsi="宋体" w:cs="宋体"/>
                <w:szCs w:val="21"/>
              </w:rPr>
            </w:pPr>
            <w:r>
              <w:rPr>
                <w:rFonts w:hint="eastAsia" w:ascii="宋体" w:hAnsi="宋体" w:cs="宋体"/>
                <w:szCs w:val="21"/>
              </w:rPr>
              <w:t>语料库资源管理（用户端）</w:t>
            </w:r>
          </w:p>
        </w:tc>
        <w:tc>
          <w:tcPr>
            <w:tcW w:w="5738" w:type="dxa"/>
            <w:vAlign w:val="center"/>
          </w:tcPr>
          <w:p w14:paraId="0E33FE45">
            <w:pPr>
              <w:rPr>
                <w:rFonts w:ascii="宋体" w:hAnsi="宋体" w:cs="宋体"/>
                <w:szCs w:val="21"/>
              </w:rPr>
            </w:pPr>
            <w:r>
              <w:rPr>
                <w:rFonts w:hint="eastAsia" w:ascii="宋体" w:hAnsi="宋体" w:cs="宋体"/>
                <w:szCs w:val="21"/>
              </w:rPr>
              <w:t>1. 分为</w:t>
            </w:r>
            <w:r>
              <w:rPr>
                <w:rStyle w:val="13"/>
                <w:rFonts w:hint="eastAsia" w:ascii="宋体" w:hAnsi="宋体" w:cs="宋体"/>
                <w:b w:val="0"/>
                <w:color w:val="000000"/>
                <w:szCs w:val="21"/>
              </w:rPr>
              <w:t>公共语料库</w:t>
            </w:r>
            <w:r>
              <w:rPr>
                <w:rFonts w:hint="eastAsia" w:ascii="宋体" w:hAnsi="宋体" w:cs="宋体"/>
                <w:bCs/>
                <w:szCs w:val="21"/>
              </w:rPr>
              <w:t>（管理员统一维护，全员可用）</w:t>
            </w:r>
            <w:r>
              <w:rPr>
                <w:rFonts w:hint="eastAsia" w:ascii="宋体" w:hAnsi="宋体" w:cs="宋体"/>
                <w:b/>
                <w:szCs w:val="21"/>
              </w:rPr>
              <w:t>、</w:t>
            </w:r>
            <w:r>
              <w:rPr>
                <w:rStyle w:val="13"/>
                <w:rFonts w:hint="eastAsia" w:ascii="宋体" w:hAnsi="宋体" w:cs="宋体"/>
                <w:b w:val="0"/>
                <w:color w:val="000000"/>
                <w:szCs w:val="21"/>
              </w:rPr>
              <w:t>个人私有语料库</w:t>
            </w:r>
            <w:r>
              <w:rPr>
                <w:rFonts w:hint="eastAsia" w:ascii="宋体" w:hAnsi="宋体" w:cs="宋体"/>
                <w:bCs/>
                <w:szCs w:val="21"/>
              </w:rPr>
              <w:t>（用户私有空间）两大板块；2. 个人语料库支持上传 txt 纯文本语料文</w:t>
            </w:r>
            <w:r>
              <w:rPr>
                <w:rFonts w:hint="eastAsia" w:ascii="宋体" w:hAnsi="宋体" w:cs="宋体"/>
                <w:szCs w:val="21"/>
              </w:rPr>
              <w:t>件，系统自动校验文件、解析文本，上传语料仅上传用户本人可见；3. 个人语料库支持编辑、删除、查看详情管理操作；4. 个人上传语料可复用平台全部科研分析能力。</w:t>
            </w:r>
          </w:p>
        </w:tc>
      </w:tr>
      <w:tr w14:paraId="38E52CD4">
        <w:tc>
          <w:tcPr>
            <w:tcW w:w="1000" w:type="dxa"/>
            <w:vAlign w:val="center"/>
          </w:tcPr>
          <w:p w14:paraId="18CE8958">
            <w:pPr>
              <w:jc w:val="center"/>
              <w:rPr>
                <w:rFonts w:ascii="宋体" w:hAnsi="宋体" w:cs="宋体"/>
                <w:szCs w:val="21"/>
              </w:rPr>
            </w:pPr>
            <w:r>
              <w:rPr>
                <w:rFonts w:hint="eastAsia" w:ascii="宋体" w:hAnsi="宋体" w:cs="宋体"/>
                <w:szCs w:val="21"/>
              </w:rPr>
              <w:t>3</w:t>
            </w:r>
          </w:p>
        </w:tc>
        <w:tc>
          <w:tcPr>
            <w:tcW w:w="2662" w:type="dxa"/>
            <w:vAlign w:val="center"/>
          </w:tcPr>
          <w:p w14:paraId="166F09F4">
            <w:pPr>
              <w:jc w:val="center"/>
              <w:rPr>
                <w:rFonts w:ascii="宋体" w:hAnsi="宋体" w:cs="宋体"/>
                <w:szCs w:val="21"/>
              </w:rPr>
            </w:pPr>
            <w:r>
              <w:rPr>
                <w:rFonts w:hint="eastAsia" w:ascii="宋体" w:hAnsi="宋体" w:cs="宋体"/>
                <w:szCs w:val="21"/>
              </w:rPr>
              <w:t>教学应用模块</w:t>
            </w:r>
          </w:p>
        </w:tc>
        <w:tc>
          <w:tcPr>
            <w:tcW w:w="5738" w:type="dxa"/>
            <w:vAlign w:val="center"/>
          </w:tcPr>
          <w:p w14:paraId="0BA70719">
            <w:pPr>
              <w:rPr>
                <w:rFonts w:ascii="宋体" w:hAnsi="宋体" w:cs="宋体"/>
                <w:szCs w:val="21"/>
              </w:rPr>
            </w:pPr>
            <w:r>
              <w:rPr>
                <w:rFonts w:hint="eastAsia" w:ascii="宋体" w:hAnsi="宋体" w:cs="宋体"/>
                <w:szCs w:val="21"/>
              </w:rPr>
              <w:t>1. 语篇展示：支持多语种语对切换，支持词性标注显示；2. 翻译策略与技巧模块，可按翻译策略类别检索展示双语例句，用于翻译教学场景。</w:t>
            </w:r>
          </w:p>
        </w:tc>
      </w:tr>
      <w:tr w14:paraId="5AD592EA">
        <w:tc>
          <w:tcPr>
            <w:tcW w:w="1000" w:type="dxa"/>
            <w:vAlign w:val="center"/>
          </w:tcPr>
          <w:p w14:paraId="2C3F334E">
            <w:pPr>
              <w:jc w:val="center"/>
              <w:rPr>
                <w:rFonts w:ascii="宋体" w:hAnsi="宋体" w:cs="宋体"/>
                <w:szCs w:val="21"/>
              </w:rPr>
            </w:pPr>
            <w:r>
              <w:rPr>
                <w:rFonts w:hint="eastAsia" w:ascii="宋体" w:hAnsi="宋体" w:cs="宋体"/>
                <w:szCs w:val="21"/>
              </w:rPr>
              <w:t>4</w:t>
            </w:r>
          </w:p>
        </w:tc>
        <w:tc>
          <w:tcPr>
            <w:tcW w:w="2662" w:type="dxa"/>
            <w:vAlign w:val="center"/>
          </w:tcPr>
          <w:p w14:paraId="092A57E4">
            <w:pPr>
              <w:jc w:val="center"/>
              <w:rPr>
                <w:rFonts w:ascii="宋体" w:hAnsi="宋体" w:cs="宋体"/>
                <w:szCs w:val="21"/>
              </w:rPr>
            </w:pPr>
            <w:r>
              <w:rPr>
                <w:rFonts w:hint="eastAsia" w:ascii="宋体" w:hAnsi="宋体" w:cs="宋体"/>
                <w:szCs w:val="21"/>
              </w:rPr>
              <w:t>科研分析模块（核心）</w:t>
            </w:r>
          </w:p>
        </w:tc>
        <w:tc>
          <w:tcPr>
            <w:tcW w:w="5738" w:type="dxa"/>
            <w:vAlign w:val="center"/>
          </w:tcPr>
          <w:p w14:paraId="5D818827">
            <w:pPr>
              <w:rPr>
                <w:rFonts w:ascii="宋体" w:hAnsi="宋体" w:cs="宋体"/>
                <w:szCs w:val="21"/>
              </w:rPr>
            </w:pPr>
            <w:r>
              <w:rPr>
                <w:rFonts w:hint="eastAsia" w:ascii="宋体" w:hAnsi="宋体" w:cs="宋体"/>
                <w:szCs w:val="21"/>
              </w:rPr>
              <w:t>支持对公共 / 个人语料库执行以下分析功能，词频、KWIC、索引行、词簇支持正则表达式检索：1）基础信息统计：统计类符、形符、类符形符比，支持按目录分级统计；2）词频分析：输出词频列表、词云可视化，支持语言、词性、停用词筛选；3）KWIC 关键词上下文索引检索；4）索引行双语语料检索展示；5）词簇提取筛选；6）词语搭配分析，搭配关系可视化图谱展示，输出搭配统计指标。</w:t>
            </w:r>
          </w:p>
        </w:tc>
      </w:tr>
      <w:tr w14:paraId="242FF20C">
        <w:tc>
          <w:tcPr>
            <w:tcW w:w="1000" w:type="dxa"/>
            <w:vAlign w:val="center"/>
          </w:tcPr>
          <w:p w14:paraId="2530528B">
            <w:pPr>
              <w:jc w:val="center"/>
              <w:rPr>
                <w:rFonts w:ascii="宋体" w:hAnsi="宋体" w:cs="宋体"/>
                <w:szCs w:val="21"/>
              </w:rPr>
            </w:pPr>
            <w:r>
              <w:rPr>
                <w:rFonts w:hint="eastAsia" w:ascii="宋体" w:hAnsi="宋体" w:cs="宋体"/>
                <w:szCs w:val="21"/>
              </w:rPr>
              <w:t>5</w:t>
            </w:r>
          </w:p>
        </w:tc>
        <w:tc>
          <w:tcPr>
            <w:tcW w:w="2662" w:type="dxa"/>
            <w:vAlign w:val="center"/>
          </w:tcPr>
          <w:p w14:paraId="1B5F50EB">
            <w:pPr>
              <w:jc w:val="center"/>
              <w:rPr>
                <w:rFonts w:ascii="宋体" w:hAnsi="宋体" w:cs="宋体"/>
                <w:szCs w:val="21"/>
              </w:rPr>
            </w:pPr>
            <w:r>
              <w:rPr>
                <w:rFonts w:hint="eastAsia" w:ascii="宋体" w:hAnsi="宋体" w:cs="宋体"/>
                <w:szCs w:val="21"/>
              </w:rPr>
              <w:t>后台管理控制系统</w:t>
            </w:r>
          </w:p>
        </w:tc>
        <w:tc>
          <w:tcPr>
            <w:tcW w:w="5738" w:type="dxa"/>
            <w:vAlign w:val="center"/>
          </w:tcPr>
          <w:p w14:paraId="5867727A">
            <w:pPr>
              <w:rPr>
                <w:rFonts w:ascii="宋体" w:hAnsi="宋体" w:cs="宋体"/>
                <w:szCs w:val="21"/>
              </w:rPr>
            </w:pPr>
            <w:r>
              <w:rPr>
                <w:rFonts w:hint="eastAsia" w:ascii="宋体" w:hAnsi="宋体" w:cs="宋体"/>
                <w:szCs w:val="21"/>
              </w:rPr>
              <w:t>提供独立管理后台，包含：1. 项目、语料库、章节、文档、句子全生命周期管理；2. 术语库管理：术语新增、编辑、删除、查询筛选、分页；3. 典故库管理；4. 文献库管理；5. 站点配置、用户权限管理；6. 支持语料缓存生成优化机制，保障大数据量语料访问性能。</w:t>
            </w:r>
          </w:p>
        </w:tc>
      </w:tr>
      <w:tr w14:paraId="238B75C6">
        <w:tc>
          <w:tcPr>
            <w:tcW w:w="1000" w:type="dxa"/>
            <w:vAlign w:val="center"/>
          </w:tcPr>
          <w:p w14:paraId="721EC7BD">
            <w:pPr>
              <w:jc w:val="center"/>
              <w:rPr>
                <w:rFonts w:ascii="宋体" w:hAnsi="宋体" w:cs="宋体"/>
                <w:szCs w:val="21"/>
              </w:rPr>
            </w:pPr>
            <w:r>
              <w:rPr>
                <w:rFonts w:hint="eastAsia" w:ascii="宋体" w:hAnsi="宋体" w:cs="宋体"/>
                <w:szCs w:val="21"/>
              </w:rPr>
              <w:t>6</w:t>
            </w:r>
          </w:p>
        </w:tc>
        <w:tc>
          <w:tcPr>
            <w:tcW w:w="2662" w:type="dxa"/>
            <w:vAlign w:val="center"/>
          </w:tcPr>
          <w:p w14:paraId="7027C876">
            <w:pPr>
              <w:jc w:val="center"/>
              <w:rPr>
                <w:rFonts w:ascii="宋体" w:hAnsi="宋体" w:cs="宋体"/>
                <w:szCs w:val="21"/>
              </w:rPr>
            </w:pPr>
            <w:r>
              <w:rPr>
                <w:rFonts w:hint="eastAsia" w:ascii="宋体" w:hAnsi="宋体" w:cs="宋体"/>
                <w:szCs w:val="21"/>
              </w:rPr>
              <w:t>技术架构要求</w:t>
            </w:r>
          </w:p>
        </w:tc>
        <w:tc>
          <w:tcPr>
            <w:tcW w:w="5738" w:type="dxa"/>
            <w:vAlign w:val="center"/>
          </w:tcPr>
          <w:p w14:paraId="51D0C68C">
            <w:pPr>
              <w:rPr>
                <w:rFonts w:ascii="宋体" w:hAnsi="宋体" w:cs="宋体"/>
                <w:szCs w:val="21"/>
              </w:rPr>
            </w:pPr>
            <w:r>
              <w:rPr>
                <w:rFonts w:hint="eastAsia" w:ascii="宋体" w:hAnsi="宋体" w:cs="宋体"/>
                <w:szCs w:val="21"/>
              </w:rPr>
              <w:t>1. 后端采用 Spring Boot 框架，Java 开发；前端采用 Angular 框架；2. 支持 SQL Server 数据库、Redis 缓存，具备缓存降级容错能力；3. 支持 Nginx 反向代理部署，具备日志、异常告警能力；4. 系统为 B/S 架构，浏览器访问，无需客户端安装；5. 支持多用户并发访问，支持大批量文本语料导入解析处理。</w:t>
            </w:r>
          </w:p>
        </w:tc>
      </w:tr>
    </w:tbl>
    <w:p w14:paraId="749B80C4">
      <w:pPr>
        <w:jc w:val="left"/>
        <w:rPr>
          <w:rFonts w:asciiTheme="minorEastAsia" w:hAnsiTheme="minorEastAsia" w:eastAsiaTheme="minorEastAsia"/>
          <w:sz w:val="24"/>
          <w:szCs w:val="24"/>
        </w:rPr>
      </w:pPr>
    </w:p>
    <w:p w14:paraId="5BC22441">
      <w:pPr>
        <w:pStyle w:val="15"/>
        <w:numPr>
          <w:ilvl w:val="0"/>
          <w:numId w:val="4"/>
        </w:numPr>
        <w:spacing w:line="360" w:lineRule="auto"/>
        <w:ind w:firstLineChars="0"/>
        <w:jc w:val="left"/>
        <w:rPr>
          <w:rFonts w:asciiTheme="minorEastAsia" w:hAnsiTheme="minorEastAsia" w:eastAsiaTheme="minorEastAsia"/>
          <w:sz w:val="24"/>
          <w:szCs w:val="24"/>
        </w:rPr>
      </w:pPr>
      <w:r>
        <w:rPr>
          <w:rFonts w:asciiTheme="minorEastAsia" w:hAnsiTheme="minorEastAsia" w:eastAsiaTheme="minorEastAsia"/>
          <w:sz w:val="24"/>
          <w:szCs w:val="24"/>
        </w:rPr>
        <w:t>其他（如布线、静电地板等设备安装工程）【本部分以最终审计结果为准】</w:t>
      </w:r>
    </w:p>
    <w:p w14:paraId="41F5CAC6">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无</w:t>
      </w:r>
    </w:p>
    <w:p w14:paraId="0D70DCC2">
      <w:pPr>
        <w:spacing w:line="360" w:lineRule="auto"/>
        <w:jc w:val="left"/>
        <w:rPr>
          <w:rFonts w:asciiTheme="minorEastAsia" w:hAnsiTheme="minorEastAsia" w:eastAsiaTheme="minorEastAsia"/>
          <w:sz w:val="24"/>
          <w:szCs w:val="24"/>
        </w:rPr>
      </w:pPr>
    </w:p>
    <w:p w14:paraId="3DD1B540">
      <w:pPr>
        <w:pStyle w:val="4"/>
        <w:numPr>
          <w:ilvl w:val="0"/>
          <w:numId w:val="1"/>
        </w:numPr>
        <w:spacing w:line="360" w:lineRule="auto"/>
        <w:rPr>
          <w:rFonts w:cs="黑体"/>
          <w:b/>
          <w:sz w:val="28"/>
          <w:szCs w:val="28"/>
        </w:rPr>
      </w:pPr>
      <w:r>
        <w:rPr>
          <w:rFonts w:cs="黑体"/>
          <w:b/>
          <w:sz w:val="28"/>
          <w:szCs w:val="28"/>
        </w:rPr>
        <w:t>支付及报价要求</w:t>
      </w:r>
    </w:p>
    <w:tbl>
      <w:tblPr>
        <w:tblStyle w:val="10"/>
        <w:tblW w:w="9743" w:type="dxa"/>
        <w:tblInd w:w="153" w:type="dxa"/>
        <w:tblLayout w:type="fixed"/>
        <w:tblCellMar>
          <w:top w:w="0" w:type="dxa"/>
          <w:left w:w="0" w:type="dxa"/>
          <w:bottom w:w="0" w:type="dxa"/>
          <w:right w:w="0" w:type="dxa"/>
        </w:tblCellMar>
      </w:tblPr>
      <w:tblGrid>
        <w:gridCol w:w="674"/>
        <w:gridCol w:w="1277"/>
        <w:gridCol w:w="7792"/>
      </w:tblGrid>
      <w:tr w14:paraId="0B861E4A">
        <w:trPr>
          <w:trHeight w:val="401" w:hRule="exact"/>
        </w:trPr>
        <w:tc>
          <w:tcPr>
            <w:tcW w:w="674" w:type="dxa"/>
            <w:tcBorders>
              <w:top w:val="single" w:color="000000" w:sz="4" w:space="0"/>
              <w:left w:val="single" w:color="000000" w:sz="4" w:space="0"/>
              <w:bottom w:val="single" w:color="000000" w:sz="4" w:space="0"/>
              <w:right w:val="single" w:color="000000" w:sz="4" w:space="0"/>
            </w:tcBorders>
            <w:vAlign w:val="center"/>
          </w:tcPr>
          <w:p w14:paraId="312329A0">
            <w:pPr>
              <w:pStyle w:val="16"/>
              <w:spacing w:before="57"/>
              <w:ind w:left="122"/>
              <w:rPr>
                <w:rFonts w:ascii="宋体" w:hAnsi="宋体" w:eastAsia="宋体" w:cs="宋体"/>
                <w:sz w:val="21"/>
                <w:szCs w:val="21"/>
              </w:rPr>
            </w:pPr>
            <w:r>
              <w:rPr>
                <w:rFonts w:ascii="宋体" w:hAnsi="宋体" w:eastAsia="宋体" w:cs="宋体"/>
                <w:b/>
                <w:bCs/>
                <w:sz w:val="21"/>
                <w:szCs w:val="21"/>
              </w:rPr>
              <w:t>序号</w:t>
            </w:r>
          </w:p>
        </w:tc>
        <w:tc>
          <w:tcPr>
            <w:tcW w:w="9069" w:type="dxa"/>
            <w:gridSpan w:val="2"/>
            <w:tcBorders>
              <w:top w:val="single" w:color="000000" w:sz="4" w:space="0"/>
              <w:left w:val="single" w:color="000000" w:sz="4" w:space="0"/>
              <w:bottom w:val="single" w:color="000000" w:sz="4" w:space="0"/>
              <w:right w:val="single" w:color="000000" w:sz="4" w:space="0"/>
            </w:tcBorders>
            <w:vAlign w:val="center"/>
          </w:tcPr>
          <w:p w14:paraId="2D009CA5">
            <w:pPr>
              <w:pStyle w:val="16"/>
              <w:spacing w:before="57"/>
              <w:ind w:left="102"/>
              <w:jc w:val="center"/>
              <w:rPr>
                <w:rFonts w:ascii="宋体" w:hAnsi="宋体" w:eastAsia="宋体" w:cs="宋体"/>
                <w:sz w:val="21"/>
                <w:szCs w:val="21"/>
                <w:lang w:eastAsia="zh-CN"/>
              </w:rPr>
            </w:pPr>
            <w:r>
              <w:rPr>
                <w:rFonts w:ascii="宋体" w:hAnsi="宋体" w:eastAsia="宋体" w:cs="宋体"/>
                <w:b/>
                <w:bCs/>
                <w:sz w:val="21"/>
                <w:szCs w:val="21"/>
              </w:rPr>
              <w:t>支付及报价要求</w:t>
            </w:r>
          </w:p>
        </w:tc>
      </w:tr>
      <w:tr w14:paraId="67B4A7A0">
        <w:trPr>
          <w:trHeight w:val="1556" w:hRule="exact"/>
        </w:trPr>
        <w:tc>
          <w:tcPr>
            <w:tcW w:w="674" w:type="dxa"/>
            <w:tcBorders>
              <w:top w:val="single" w:color="000000" w:sz="4" w:space="0"/>
              <w:left w:val="single" w:color="000000" w:sz="4" w:space="0"/>
              <w:bottom w:val="single" w:color="000000" w:sz="4" w:space="0"/>
              <w:right w:val="single" w:color="000000" w:sz="4" w:space="0"/>
            </w:tcBorders>
            <w:vAlign w:val="center"/>
          </w:tcPr>
          <w:p w14:paraId="3344C723">
            <w:pPr>
              <w:pStyle w:val="16"/>
              <w:spacing w:before="155"/>
              <w:jc w:val="center"/>
              <w:rPr>
                <w:rFonts w:ascii="宋体" w:hAnsi="宋体" w:eastAsia="宋体" w:cs="宋体"/>
                <w:sz w:val="21"/>
                <w:szCs w:val="21"/>
              </w:rPr>
            </w:pPr>
            <w:r>
              <w:rPr>
                <w:rFonts w:ascii="宋体"/>
                <w:sz w:val="21"/>
              </w:rPr>
              <w:t>1</w:t>
            </w:r>
          </w:p>
        </w:tc>
        <w:tc>
          <w:tcPr>
            <w:tcW w:w="1277" w:type="dxa"/>
            <w:tcBorders>
              <w:top w:val="single" w:color="000000" w:sz="4" w:space="0"/>
              <w:left w:val="single" w:color="000000" w:sz="4" w:space="0"/>
              <w:bottom w:val="single" w:color="000000" w:sz="4" w:space="0"/>
              <w:right w:val="single" w:color="000000" w:sz="4" w:space="0"/>
            </w:tcBorders>
            <w:vAlign w:val="center"/>
          </w:tcPr>
          <w:p w14:paraId="709863C7">
            <w:pPr>
              <w:pStyle w:val="16"/>
              <w:spacing w:before="155"/>
              <w:jc w:val="center"/>
              <w:rPr>
                <w:rFonts w:ascii="宋体" w:hAnsi="宋体" w:eastAsia="宋体" w:cs="宋体"/>
                <w:sz w:val="21"/>
                <w:szCs w:val="21"/>
              </w:rPr>
            </w:pPr>
            <w:r>
              <w:rPr>
                <w:rFonts w:ascii="宋体" w:hAnsi="宋体" w:eastAsia="宋体" w:cs="宋体"/>
                <w:sz w:val="21"/>
                <w:szCs w:val="21"/>
              </w:rPr>
              <w:t>支付要求</w:t>
            </w:r>
          </w:p>
        </w:tc>
        <w:tc>
          <w:tcPr>
            <w:tcW w:w="7792" w:type="dxa"/>
            <w:tcBorders>
              <w:top w:val="single" w:color="000000" w:sz="4" w:space="0"/>
              <w:left w:val="single" w:color="000000" w:sz="4" w:space="0"/>
              <w:bottom w:val="single" w:color="000000" w:sz="4" w:space="0"/>
              <w:right w:val="single" w:color="000000" w:sz="4" w:space="0"/>
            </w:tcBorders>
            <w:vAlign w:val="center"/>
          </w:tcPr>
          <w:p w14:paraId="56DFEDDA">
            <w:pPr>
              <w:pStyle w:val="16"/>
              <w:spacing w:before="57"/>
              <w:ind w:right="96"/>
              <w:jc w:val="center"/>
              <w:rPr>
                <w:rFonts w:ascii="宋体" w:hAnsi="宋体" w:eastAsia="宋体" w:cs="宋体"/>
                <w:sz w:val="21"/>
                <w:szCs w:val="21"/>
                <w:lang w:eastAsia="zh-CN"/>
              </w:rPr>
            </w:pPr>
            <w:r>
              <w:rPr>
                <w:rFonts w:hint="eastAsia" w:ascii="宋体" w:hAnsi="宋体" w:eastAsia="宋体" w:cs="宋体"/>
                <w:spacing w:val="-1"/>
                <w:sz w:val="21"/>
                <w:szCs w:val="21"/>
                <w:lang w:eastAsia="zh-CN"/>
              </w:rPr>
              <w:t>付款后3个工作日开通全部功能。</w:t>
            </w:r>
          </w:p>
        </w:tc>
      </w:tr>
      <w:tr w14:paraId="646AA246">
        <w:trPr>
          <w:trHeight w:val="1989" w:hRule="exact"/>
        </w:trPr>
        <w:tc>
          <w:tcPr>
            <w:tcW w:w="674" w:type="dxa"/>
            <w:tcBorders>
              <w:top w:val="single" w:color="000000" w:sz="4" w:space="0"/>
              <w:left w:val="single" w:color="000000" w:sz="4" w:space="0"/>
              <w:bottom w:val="single" w:color="000000" w:sz="4" w:space="0"/>
              <w:right w:val="single" w:color="000000" w:sz="4" w:space="0"/>
            </w:tcBorders>
            <w:vAlign w:val="center"/>
          </w:tcPr>
          <w:p w14:paraId="188F8064">
            <w:pPr>
              <w:pStyle w:val="16"/>
              <w:jc w:val="center"/>
              <w:rPr>
                <w:rFonts w:ascii="宋体" w:hAnsi="宋体" w:eastAsia="宋体" w:cs="宋体"/>
                <w:sz w:val="21"/>
                <w:szCs w:val="21"/>
              </w:rPr>
            </w:pPr>
            <w:r>
              <w:rPr>
                <w:rFonts w:ascii="宋体"/>
                <w:sz w:val="21"/>
              </w:rPr>
              <w:t>2</w:t>
            </w:r>
          </w:p>
        </w:tc>
        <w:tc>
          <w:tcPr>
            <w:tcW w:w="1277" w:type="dxa"/>
            <w:tcBorders>
              <w:top w:val="single" w:color="000000" w:sz="4" w:space="0"/>
              <w:left w:val="single" w:color="000000" w:sz="4" w:space="0"/>
              <w:bottom w:val="single" w:color="000000" w:sz="4" w:space="0"/>
              <w:right w:val="single" w:color="000000" w:sz="4" w:space="0"/>
            </w:tcBorders>
            <w:vAlign w:val="center"/>
          </w:tcPr>
          <w:p w14:paraId="543D38F2">
            <w:pPr>
              <w:pStyle w:val="16"/>
              <w:jc w:val="center"/>
              <w:rPr>
                <w:rFonts w:ascii="宋体" w:hAnsi="宋体" w:eastAsia="宋体" w:cs="宋体"/>
                <w:sz w:val="21"/>
                <w:szCs w:val="21"/>
              </w:rPr>
            </w:pPr>
            <w:r>
              <w:rPr>
                <w:rFonts w:ascii="宋体" w:hAnsi="宋体" w:eastAsia="宋体" w:cs="宋体"/>
                <w:sz w:val="21"/>
                <w:szCs w:val="21"/>
              </w:rPr>
              <w:t>报价要求</w:t>
            </w:r>
          </w:p>
        </w:tc>
        <w:tc>
          <w:tcPr>
            <w:tcW w:w="7792" w:type="dxa"/>
            <w:tcBorders>
              <w:top w:val="single" w:color="000000" w:sz="4" w:space="0"/>
              <w:left w:val="single" w:color="000000" w:sz="4" w:space="0"/>
              <w:bottom w:val="single" w:color="000000" w:sz="4" w:space="0"/>
              <w:right w:val="single" w:color="000000" w:sz="4" w:space="0"/>
            </w:tcBorders>
            <w:vAlign w:val="center"/>
          </w:tcPr>
          <w:p w14:paraId="4BBE73BB">
            <w:pPr>
              <w:pStyle w:val="16"/>
              <w:spacing w:before="59"/>
              <w:ind w:right="-7"/>
              <w:jc w:val="both"/>
              <w:rPr>
                <w:rFonts w:ascii="宋体" w:hAnsi="宋体" w:eastAsia="宋体" w:cs="宋体"/>
                <w:sz w:val="21"/>
                <w:szCs w:val="21"/>
                <w:lang w:eastAsia="zh-CN"/>
              </w:rPr>
            </w:pPr>
            <w:r>
              <w:rPr>
                <w:rFonts w:ascii="宋体" w:hAnsi="宋体" w:eastAsia="宋体" w:cs="宋体"/>
                <w:sz w:val="21"/>
                <w:szCs w:val="21"/>
                <w:lang w:eastAsia="zh-CN"/>
              </w:rPr>
              <w:t>报价须按照报价表内要求报价，明确明细价及总价。</w:t>
            </w:r>
            <w:r>
              <w:rPr>
                <w:rFonts w:ascii="宋体" w:hAnsi="宋体" w:eastAsia="宋体" w:cs="宋体"/>
                <w:b/>
                <w:bCs/>
                <w:sz w:val="21"/>
                <w:szCs w:val="21"/>
                <w:lang w:eastAsia="zh-CN"/>
              </w:rPr>
              <w:t>报价必须包含软件授权费、开发适配费、实施部署费、培训费、人工费、安装调试费、税费等全部费用，</w:t>
            </w:r>
            <w:r>
              <w:rPr>
                <w:rFonts w:ascii="宋体" w:hAnsi="宋体" w:eastAsia="宋体" w:cs="宋体"/>
                <w:sz w:val="21"/>
                <w:szCs w:val="21"/>
                <w:lang w:eastAsia="zh-CN"/>
              </w:rPr>
              <w:t>本项目为交钥匙项目，所有配套服务费用全部包含在报价内。不得以其他任何理由提出中标金额以外的其他费用要求。报价总金额不得超过 8 万元最高限价。</w:t>
            </w:r>
          </w:p>
        </w:tc>
      </w:tr>
    </w:tbl>
    <w:p w14:paraId="69E0535C">
      <w:pPr>
        <w:pStyle w:val="4"/>
        <w:numPr>
          <w:ilvl w:val="0"/>
          <w:numId w:val="1"/>
        </w:numPr>
        <w:rPr>
          <w:rFonts w:cs="黑体"/>
          <w:b/>
          <w:sz w:val="28"/>
          <w:szCs w:val="28"/>
        </w:rPr>
      </w:pPr>
      <w:r>
        <w:rPr>
          <w:rFonts w:cs="黑体"/>
          <w:b/>
          <w:sz w:val="28"/>
          <w:szCs w:val="28"/>
        </w:rPr>
        <w:t>售后服务</w:t>
      </w:r>
    </w:p>
    <w:tbl>
      <w:tblPr>
        <w:tblStyle w:val="10"/>
        <w:tblW w:w="9783" w:type="dxa"/>
        <w:tblInd w:w="119" w:type="dxa"/>
        <w:tblLayout w:type="fixed"/>
        <w:tblCellMar>
          <w:top w:w="0" w:type="dxa"/>
          <w:left w:w="0" w:type="dxa"/>
          <w:bottom w:w="0" w:type="dxa"/>
          <w:right w:w="0" w:type="dxa"/>
        </w:tblCellMar>
      </w:tblPr>
      <w:tblGrid>
        <w:gridCol w:w="706"/>
        <w:gridCol w:w="1042"/>
        <w:gridCol w:w="8035"/>
      </w:tblGrid>
      <w:tr w14:paraId="428DA635">
        <w:trPr>
          <w:trHeight w:val="370" w:hRule="exact"/>
        </w:trPr>
        <w:tc>
          <w:tcPr>
            <w:tcW w:w="706" w:type="dxa"/>
            <w:tcBorders>
              <w:top w:val="single" w:color="000000" w:sz="4" w:space="0"/>
              <w:left w:val="single" w:color="000000" w:sz="4" w:space="0"/>
              <w:bottom w:val="single" w:color="000000" w:sz="4" w:space="0"/>
              <w:right w:val="single" w:color="000000" w:sz="4" w:space="0"/>
            </w:tcBorders>
          </w:tcPr>
          <w:p w14:paraId="5DEADAE5">
            <w:pPr>
              <w:pStyle w:val="16"/>
              <w:spacing w:before="42"/>
              <w:ind w:left="139"/>
              <w:rPr>
                <w:rFonts w:ascii="宋体" w:hAnsi="宋体" w:eastAsia="宋体" w:cs="宋体"/>
                <w:sz w:val="21"/>
                <w:szCs w:val="21"/>
              </w:rPr>
            </w:pPr>
            <w:r>
              <w:rPr>
                <w:rFonts w:ascii="宋体" w:hAnsi="宋体" w:eastAsia="宋体" w:cs="宋体"/>
                <w:b/>
                <w:bCs/>
                <w:sz w:val="21"/>
                <w:szCs w:val="21"/>
              </w:rPr>
              <w:t>序号</w:t>
            </w:r>
            <w:r>
              <w:rPr>
                <w:rFonts w:ascii="宋体" w:hAnsi="宋体" w:eastAsia="宋体" w:cs="宋体"/>
                <w:b/>
                <w:bCs/>
                <w:w w:val="99"/>
                <w:sz w:val="21"/>
                <w:szCs w:val="21"/>
              </w:rPr>
              <w:t xml:space="preserve"> </w:t>
            </w:r>
          </w:p>
        </w:tc>
        <w:tc>
          <w:tcPr>
            <w:tcW w:w="9077" w:type="dxa"/>
            <w:gridSpan w:val="2"/>
            <w:tcBorders>
              <w:top w:val="single" w:color="000000" w:sz="4" w:space="0"/>
              <w:left w:val="single" w:color="000000" w:sz="4" w:space="0"/>
              <w:bottom w:val="single" w:color="000000" w:sz="4" w:space="0"/>
              <w:right w:val="single" w:color="000000" w:sz="4" w:space="0"/>
            </w:tcBorders>
          </w:tcPr>
          <w:p w14:paraId="15DC614E">
            <w:pPr>
              <w:pStyle w:val="16"/>
              <w:spacing w:before="42"/>
              <w:ind w:left="105"/>
              <w:jc w:val="center"/>
              <w:rPr>
                <w:rFonts w:ascii="宋体" w:hAnsi="宋体" w:eastAsia="宋体" w:cs="宋体"/>
                <w:sz w:val="21"/>
                <w:szCs w:val="21"/>
              </w:rPr>
            </w:pPr>
            <w:r>
              <w:rPr>
                <w:rFonts w:ascii="宋体" w:hAnsi="宋体" w:eastAsia="宋体" w:cs="宋体"/>
                <w:b/>
                <w:bCs/>
                <w:sz w:val="21"/>
                <w:szCs w:val="21"/>
              </w:rPr>
              <w:t>售后服务要求</w:t>
            </w:r>
          </w:p>
        </w:tc>
      </w:tr>
      <w:tr w14:paraId="776254BF">
        <w:trPr>
          <w:trHeight w:val="3155" w:hRule="exact"/>
        </w:trPr>
        <w:tc>
          <w:tcPr>
            <w:tcW w:w="706" w:type="dxa"/>
            <w:tcBorders>
              <w:top w:val="single" w:color="000000" w:sz="4" w:space="0"/>
              <w:left w:val="single" w:color="000000" w:sz="4" w:space="0"/>
              <w:bottom w:val="single" w:color="000000" w:sz="4" w:space="0"/>
              <w:right w:val="single" w:color="000000" w:sz="4" w:space="0"/>
            </w:tcBorders>
            <w:vAlign w:val="center"/>
          </w:tcPr>
          <w:p w14:paraId="2836D325">
            <w:pPr>
              <w:pStyle w:val="16"/>
              <w:spacing w:before="174"/>
              <w:jc w:val="center"/>
              <w:rPr>
                <w:rFonts w:ascii="宋体" w:hAnsi="宋体" w:eastAsia="宋体" w:cs="宋体"/>
                <w:sz w:val="21"/>
                <w:szCs w:val="21"/>
              </w:rPr>
            </w:pPr>
            <w:r>
              <w:rPr>
                <w:rFonts w:ascii="宋体"/>
                <w:sz w:val="21"/>
              </w:rPr>
              <w:t>1</w:t>
            </w:r>
          </w:p>
        </w:tc>
        <w:tc>
          <w:tcPr>
            <w:tcW w:w="1042" w:type="dxa"/>
            <w:tcBorders>
              <w:top w:val="single" w:color="000000" w:sz="4" w:space="0"/>
              <w:left w:val="single" w:color="000000" w:sz="4" w:space="0"/>
              <w:bottom w:val="single" w:color="000000" w:sz="4" w:space="0"/>
              <w:right w:val="single" w:color="000000" w:sz="4" w:space="0"/>
            </w:tcBorders>
            <w:vAlign w:val="center"/>
          </w:tcPr>
          <w:p w14:paraId="169AEE60">
            <w:pPr>
              <w:pStyle w:val="16"/>
              <w:spacing w:before="174"/>
              <w:jc w:val="center"/>
              <w:rPr>
                <w:rFonts w:ascii="宋体" w:hAnsi="宋体" w:eastAsia="宋体" w:cs="宋体"/>
                <w:sz w:val="21"/>
                <w:szCs w:val="21"/>
              </w:rPr>
            </w:pPr>
            <w:r>
              <w:rPr>
                <w:rFonts w:ascii="宋体" w:hAnsi="宋体" w:eastAsia="宋体" w:cs="宋体"/>
                <w:sz w:val="21"/>
                <w:szCs w:val="21"/>
              </w:rPr>
              <w:t>安装集成</w:t>
            </w:r>
          </w:p>
        </w:tc>
        <w:tc>
          <w:tcPr>
            <w:tcW w:w="8035" w:type="dxa"/>
            <w:tcBorders>
              <w:top w:val="single" w:color="000000" w:sz="4" w:space="0"/>
              <w:left w:val="single" w:color="000000" w:sz="4" w:space="0"/>
              <w:bottom w:val="single" w:color="000000" w:sz="4" w:space="0"/>
              <w:right w:val="single" w:color="000000" w:sz="4" w:space="0"/>
            </w:tcBorders>
            <w:vAlign w:val="center"/>
          </w:tcPr>
          <w:p w14:paraId="35F8221E">
            <w:pPr>
              <w:pStyle w:val="16"/>
              <w:numPr>
                <w:ilvl w:val="0"/>
                <w:numId w:val="5"/>
              </w:numPr>
              <w:tabs>
                <w:tab w:val="left" w:pos="528"/>
              </w:tabs>
              <w:jc w:val="both"/>
              <w:rPr>
                <w:rFonts w:ascii="宋体" w:hAnsi="宋体" w:eastAsia="宋体" w:cs="宋体"/>
                <w:sz w:val="21"/>
                <w:szCs w:val="21"/>
                <w:lang w:eastAsia="zh-CN"/>
              </w:rPr>
            </w:pPr>
            <w:r>
              <w:rPr>
                <w:rFonts w:ascii="宋体" w:hAnsi="宋体" w:eastAsia="宋体" w:cs="宋体"/>
                <w:sz w:val="21"/>
                <w:szCs w:val="21"/>
                <w:lang w:eastAsia="zh-CN"/>
              </w:rPr>
              <w:t>应指定专门人员负责整个项目实施，指定现场实施具体负责人全权负责项目管理和协调项目中出现的问题，管理项目进度、需求变更、协调本方资源等多方面的工作。</w:t>
            </w:r>
          </w:p>
          <w:p w14:paraId="78A43511">
            <w:pPr>
              <w:pStyle w:val="16"/>
              <w:numPr>
                <w:ilvl w:val="0"/>
                <w:numId w:val="5"/>
              </w:numPr>
              <w:tabs>
                <w:tab w:val="left" w:pos="528"/>
              </w:tabs>
              <w:jc w:val="both"/>
              <w:rPr>
                <w:rFonts w:ascii="宋体" w:hAnsi="宋体" w:eastAsia="宋体" w:cs="宋体"/>
                <w:sz w:val="21"/>
                <w:szCs w:val="21"/>
                <w:lang w:eastAsia="zh-CN"/>
              </w:rPr>
            </w:pPr>
            <w:r>
              <w:rPr>
                <w:rFonts w:ascii="宋体" w:hAnsi="宋体" w:eastAsia="宋体" w:cs="宋体"/>
                <w:sz w:val="21"/>
                <w:szCs w:val="21"/>
                <w:lang w:eastAsia="zh-CN"/>
              </w:rPr>
              <w:t>排专业人员提供安装调试接通实施服务，完成系统部署、功能调通，完成对甲方管理员操作培训，本项目报价中已包含相关费用，不得以任何借口另行收取费用。</w:t>
            </w:r>
          </w:p>
          <w:p w14:paraId="6092B623">
            <w:pPr>
              <w:pStyle w:val="16"/>
              <w:numPr>
                <w:ilvl w:val="0"/>
                <w:numId w:val="5"/>
              </w:numPr>
              <w:tabs>
                <w:tab w:val="left" w:pos="528"/>
              </w:tabs>
              <w:jc w:val="both"/>
              <w:rPr>
                <w:rFonts w:ascii="宋体" w:hAnsi="宋体" w:eastAsia="宋体" w:cs="宋体"/>
                <w:sz w:val="21"/>
                <w:szCs w:val="21"/>
                <w:lang w:eastAsia="zh-CN"/>
              </w:rPr>
            </w:pPr>
            <w:r>
              <w:rPr>
                <w:rFonts w:ascii="宋体" w:hAnsi="宋体" w:eastAsia="宋体" w:cs="宋体"/>
                <w:sz w:val="21"/>
                <w:szCs w:val="21"/>
                <w:lang w:eastAsia="zh-CN"/>
              </w:rPr>
              <w:t>定期回访用户，当出现重大故障问题并影响到实际应用时，须在最短时间内响应并派人到现场解决，或提供备用解决方案。工作现场严格遵守招标人的规定。项目实施过程中，因中标人原因引起的招标人财产损失及安全事故，由中标人承担责任。</w:t>
            </w:r>
          </w:p>
        </w:tc>
      </w:tr>
      <w:tr w14:paraId="6AE7F3F8">
        <w:trPr>
          <w:trHeight w:val="3517" w:hRule="exact"/>
        </w:trPr>
        <w:tc>
          <w:tcPr>
            <w:tcW w:w="706" w:type="dxa"/>
            <w:tcBorders>
              <w:top w:val="single" w:color="000000" w:sz="4" w:space="0"/>
              <w:left w:val="single" w:color="000000" w:sz="4" w:space="0"/>
              <w:bottom w:val="single" w:color="000000" w:sz="4" w:space="0"/>
              <w:right w:val="single" w:color="000000" w:sz="4" w:space="0"/>
            </w:tcBorders>
            <w:vAlign w:val="center"/>
          </w:tcPr>
          <w:p w14:paraId="125A2324">
            <w:pPr>
              <w:pStyle w:val="16"/>
              <w:jc w:val="center"/>
              <w:rPr>
                <w:rFonts w:ascii="黑体" w:hAnsi="黑体" w:eastAsia="黑体" w:cs="黑体"/>
                <w:sz w:val="20"/>
                <w:szCs w:val="20"/>
              </w:rPr>
            </w:pPr>
            <w:r>
              <w:rPr>
                <w:rFonts w:hint="eastAsia" w:ascii="黑体" w:hAnsi="黑体" w:eastAsia="黑体" w:cs="黑体"/>
                <w:sz w:val="20"/>
                <w:szCs w:val="20"/>
                <w:lang w:eastAsia="zh-CN"/>
              </w:rPr>
              <w:t>2</w:t>
            </w:r>
          </w:p>
        </w:tc>
        <w:tc>
          <w:tcPr>
            <w:tcW w:w="1042" w:type="dxa"/>
            <w:tcBorders>
              <w:top w:val="single" w:color="000000" w:sz="4" w:space="0"/>
              <w:left w:val="single" w:color="000000" w:sz="4" w:space="0"/>
              <w:bottom w:val="single" w:color="000000" w:sz="4" w:space="0"/>
              <w:right w:val="single" w:color="000000" w:sz="4" w:space="0"/>
            </w:tcBorders>
            <w:vAlign w:val="center"/>
          </w:tcPr>
          <w:p w14:paraId="2702EA61">
            <w:pPr>
              <w:pStyle w:val="16"/>
              <w:jc w:val="center"/>
              <w:rPr>
                <w:rFonts w:ascii="黑体" w:hAnsi="黑体" w:eastAsia="黑体" w:cs="黑体"/>
                <w:sz w:val="20"/>
                <w:szCs w:val="20"/>
              </w:rPr>
            </w:pPr>
            <w:r>
              <w:rPr>
                <w:rFonts w:hint="eastAsia" w:ascii="宋体" w:hAnsi="宋体" w:eastAsia="宋体" w:cs="宋体"/>
                <w:sz w:val="21"/>
                <w:szCs w:val="21"/>
                <w:lang w:eastAsia="zh-CN"/>
              </w:rPr>
              <w:t>保修期限及内容</w:t>
            </w:r>
          </w:p>
        </w:tc>
        <w:tc>
          <w:tcPr>
            <w:tcW w:w="8035" w:type="dxa"/>
            <w:tcBorders>
              <w:top w:val="single" w:color="000000" w:sz="4" w:space="0"/>
              <w:left w:val="single" w:color="000000" w:sz="4" w:space="0"/>
              <w:bottom w:val="single" w:color="000000" w:sz="4" w:space="0"/>
              <w:right w:val="single" w:color="000000" w:sz="4" w:space="0"/>
            </w:tcBorders>
            <w:vAlign w:val="center"/>
          </w:tcPr>
          <w:p w14:paraId="517A310B"/>
          <w:p w14:paraId="6EA15DC2">
            <w:pPr>
              <w:numPr>
                <w:ilvl w:val="0"/>
                <w:numId w:val="6"/>
              </w:numPr>
              <w:tabs>
                <w:tab w:val="left" w:pos="1408"/>
              </w:tabs>
            </w:pPr>
            <w:r>
              <w:rPr>
                <w:rFonts w:hint="eastAsia"/>
              </w:rPr>
              <w:t>自项目终验之日起，投标人对本套软件系统提供订阅期内的免费质保服务。</w:t>
            </w:r>
          </w:p>
          <w:p w14:paraId="3036B205">
            <w:pPr>
              <w:numPr>
                <w:ilvl w:val="0"/>
                <w:numId w:val="6"/>
              </w:numPr>
              <w:tabs>
                <w:tab w:val="left" w:pos="1408"/>
              </w:tabs>
            </w:pPr>
            <w:r>
              <w:rPr>
                <w:rFonts w:hint="eastAsia"/>
              </w:rPr>
              <w:t>免费质保服务包括：系统的远程及现场技术支持服务，纠错性软件升级，季度巡检、备份数据、数据更新服务及现场维修服务等。</w:t>
            </w:r>
          </w:p>
          <w:p w14:paraId="4C8512DE">
            <w:pPr>
              <w:numPr>
                <w:ilvl w:val="0"/>
                <w:numId w:val="6"/>
              </w:numPr>
              <w:tabs>
                <w:tab w:val="left" w:pos="1408"/>
              </w:tabs>
            </w:pPr>
            <w:r>
              <w:rPr>
                <w:rFonts w:hint="eastAsia"/>
              </w:rPr>
              <w:t>投标人需提供7×24 小时的电话技术支持和服务；30 分钟内做出实质性响应，2 小时内到达指定现场，24 小时内解决问题。须指定专人提供质保服务。服务方式包括电话、互联网、远程协助、E</w:t>
            </w:r>
            <w:r>
              <w:rPr>
                <w:rFonts w:hint="eastAsia"/>
              </w:rPr>
              <w:noBreakHyphen/>
            </w:r>
            <w:r>
              <w:rPr>
                <w:rFonts w:hint="eastAsia"/>
              </w:rPr>
              <w:t>mail 和现场等方式。</w:t>
            </w:r>
          </w:p>
          <w:p w14:paraId="1BF0A304">
            <w:pPr>
              <w:numPr>
                <w:ilvl w:val="0"/>
                <w:numId w:val="6"/>
              </w:numPr>
              <w:tabs>
                <w:tab w:val="left" w:pos="1408"/>
              </w:tabs>
            </w:pPr>
            <w:r>
              <w:rPr>
                <w:rFonts w:hint="eastAsia"/>
              </w:rPr>
              <w:t>投标人具有固定的经营服务场所，具有响应的服务设施、工具等，并可按甲方要求提供相关证明材料。</w:t>
            </w:r>
          </w:p>
          <w:p w14:paraId="756EE1E3">
            <w:pPr>
              <w:numPr>
                <w:ilvl w:val="0"/>
                <w:numId w:val="6"/>
              </w:numPr>
              <w:tabs>
                <w:tab w:val="left" w:pos="1408"/>
              </w:tabs>
            </w:pPr>
            <w:r>
              <w:rPr>
                <w:rFonts w:hint="eastAsia"/>
              </w:rPr>
              <w:t>质保期内需提供系统管理员、普通用户操作培训服务，提供操作手册电子档。</w:t>
            </w:r>
          </w:p>
        </w:tc>
      </w:tr>
      <w:tr w14:paraId="2CFA591A">
        <w:trPr>
          <w:trHeight w:val="1685" w:hRule="exact"/>
        </w:trPr>
        <w:tc>
          <w:tcPr>
            <w:tcW w:w="706" w:type="dxa"/>
            <w:tcBorders>
              <w:top w:val="single" w:color="000000" w:sz="4" w:space="0"/>
              <w:left w:val="single" w:color="000000" w:sz="4" w:space="0"/>
              <w:bottom w:val="single" w:color="000000" w:sz="4" w:space="0"/>
              <w:right w:val="single" w:color="000000" w:sz="4" w:space="0"/>
            </w:tcBorders>
            <w:vAlign w:val="center"/>
          </w:tcPr>
          <w:p w14:paraId="5F876468">
            <w:pPr>
              <w:pStyle w:val="16"/>
              <w:jc w:val="center"/>
              <w:rPr>
                <w:rFonts w:ascii="黑体" w:hAnsi="黑体" w:eastAsia="黑体" w:cs="黑体"/>
                <w:sz w:val="20"/>
                <w:szCs w:val="20"/>
                <w:lang w:eastAsia="zh-CN"/>
              </w:rPr>
            </w:pPr>
            <w:r>
              <w:rPr>
                <w:rFonts w:hint="eastAsia" w:ascii="黑体" w:hAnsi="黑体" w:eastAsia="黑体" w:cs="黑体"/>
                <w:sz w:val="20"/>
                <w:szCs w:val="20"/>
                <w:lang w:eastAsia="zh-CN"/>
              </w:rPr>
              <w:t>3</w:t>
            </w:r>
          </w:p>
        </w:tc>
        <w:tc>
          <w:tcPr>
            <w:tcW w:w="1042" w:type="dxa"/>
            <w:tcBorders>
              <w:top w:val="single" w:color="000000" w:sz="4" w:space="0"/>
              <w:left w:val="single" w:color="000000" w:sz="4" w:space="0"/>
              <w:bottom w:val="single" w:color="000000" w:sz="4" w:space="0"/>
              <w:right w:val="single" w:color="000000" w:sz="4" w:space="0"/>
            </w:tcBorders>
            <w:vAlign w:val="center"/>
          </w:tcPr>
          <w:p w14:paraId="6823D899">
            <w:pPr>
              <w:pStyle w:val="16"/>
              <w:jc w:val="center"/>
              <w:rPr>
                <w:rFonts w:ascii="宋体" w:hAnsi="宋体" w:eastAsia="宋体" w:cs="宋体"/>
                <w:sz w:val="21"/>
                <w:szCs w:val="21"/>
                <w:lang w:eastAsia="zh-CN"/>
              </w:rPr>
            </w:pPr>
            <w:r>
              <w:rPr>
                <w:rFonts w:hint="eastAsia" w:ascii="宋体" w:hAnsi="宋体" w:eastAsia="宋体" w:cs="宋体"/>
                <w:sz w:val="21"/>
                <w:szCs w:val="21"/>
                <w:lang w:eastAsia="zh-CN"/>
              </w:rPr>
              <w:t>超出保修期维保费用</w:t>
            </w:r>
          </w:p>
        </w:tc>
        <w:tc>
          <w:tcPr>
            <w:tcW w:w="8035" w:type="dxa"/>
            <w:tcBorders>
              <w:top w:val="single" w:color="000000" w:sz="4" w:space="0"/>
              <w:left w:val="single" w:color="000000" w:sz="4" w:space="0"/>
              <w:bottom w:val="single" w:color="000000" w:sz="4" w:space="0"/>
              <w:right w:val="single" w:color="000000" w:sz="4" w:space="0"/>
            </w:tcBorders>
            <w:vAlign w:val="center"/>
          </w:tcPr>
          <w:p w14:paraId="42395839">
            <w:pPr>
              <w:pStyle w:val="9"/>
              <w:jc w:val="center"/>
              <w:rPr>
                <w:rFonts w:ascii="宋体" w:hAnsi="宋体" w:cs="宋体"/>
                <w:szCs w:val="21"/>
              </w:rPr>
            </w:pPr>
            <w:r>
              <w:rPr>
                <w:rFonts w:ascii="宋体" w:hAnsi="宋体" w:cs="宋体"/>
                <w:b w:val="0"/>
                <w:bCs w:val="0"/>
                <w:szCs w:val="21"/>
              </w:rPr>
              <w:t>质保期满后，投标人应提供明确的维保报价方案，维保方案包含服务内容、收费标准，供甲方后续选择采购。</w:t>
            </w:r>
          </w:p>
        </w:tc>
      </w:tr>
      <w:tr w14:paraId="5A8F7E2B">
        <w:trPr>
          <w:trHeight w:val="1695" w:hRule="exact"/>
        </w:trPr>
        <w:tc>
          <w:tcPr>
            <w:tcW w:w="706" w:type="dxa"/>
            <w:tcBorders>
              <w:top w:val="single" w:color="000000" w:sz="4" w:space="0"/>
              <w:left w:val="single" w:color="000000" w:sz="4" w:space="0"/>
              <w:bottom w:val="single" w:color="000000" w:sz="4" w:space="0"/>
              <w:right w:val="single" w:color="000000" w:sz="4" w:space="0"/>
            </w:tcBorders>
            <w:vAlign w:val="center"/>
          </w:tcPr>
          <w:p w14:paraId="1B38FE7C">
            <w:pPr>
              <w:pStyle w:val="16"/>
              <w:jc w:val="center"/>
              <w:rPr>
                <w:rFonts w:ascii="黑体" w:hAnsi="黑体" w:eastAsia="黑体" w:cs="黑体"/>
                <w:sz w:val="20"/>
                <w:szCs w:val="20"/>
                <w:lang w:eastAsia="zh-CN"/>
              </w:rPr>
            </w:pPr>
            <w:r>
              <w:rPr>
                <w:rFonts w:ascii="黑体" w:hAnsi="黑体" w:eastAsia="黑体" w:cs="黑体"/>
                <w:sz w:val="20"/>
                <w:szCs w:val="20"/>
                <w:lang w:eastAsia="zh-CN"/>
              </w:rPr>
              <w:t>4</w:t>
            </w:r>
          </w:p>
        </w:tc>
        <w:tc>
          <w:tcPr>
            <w:tcW w:w="1042" w:type="dxa"/>
            <w:tcBorders>
              <w:top w:val="single" w:color="000000" w:sz="4" w:space="0"/>
              <w:left w:val="single" w:color="000000" w:sz="4" w:space="0"/>
              <w:bottom w:val="single" w:color="000000" w:sz="4" w:space="0"/>
              <w:right w:val="single" w:color="000000" w:sz="4" w:space="0"/>
            </w:tcBorders>
            <w:vAlign w:val="center"/>
          </w:tcPr>
          <w:p w14:paraId="74878BD3">
            <w:pPr>
              <w:pStyle w:val="16"/>
              <w:jc w:val="center"/>
              <w:rPr>
                <w:rFonts w:ascii="宋体" w:hAnsi="宋体" w:eastAsia="宋体" w:cs="宋体"/>
                <w:sz w:val="21"/>
                <w:szCs w:val="21"/>
                <w:lang w:eastAsia="zh-CN"/>
              </w:rPr>
            </w:pPr>
            <w:r>
              <w:rPr>
                <w:rFonts w:hint="eastAsia" w:ascii="宋体" w:hAnsi="宋体" w:eastAsia="宋体" w:cs="宋体"/>
                <w:sz w:val="21"/>
                <w:szCs w:val="21"/>
                <w:lang w:eastAsia="zh-CN"/>
              </w:rPr>
              <w:t>交付时间</w:t>
            </w:r>
          </w:p>
        </w:tc>
        <w:tc>
          <w:tcPr>
            <w:tcW w:w="8035" w:type="dxa"/>
            <w:tcBorders>
              <w:top w:val="single" w:color="000000" w:sz="4" w:space="0"/>
              <w:left w:val="single" w:color="000000" w:sz="4" w:space="0"/>
              <w:bottom w:val="single" w:color="000000" w:sz="4" w:space="0"/>
              <w:right w:val="single" w:color="000000" w:sz="4" w:space="0"/>
            </w:tcBorders>
            <w:vAlign w:val="center"/>
          </w:tcPr>
          <w:p w14:paraId="0F0C0103">
            <w:pPr>
              <w:pStyle w:val="9"/>
              <w:jc w:val="center"/>
              <w:rPr>
                <w:rFonts w:ascii="宋体" w:hAnsi="宋体" w:cs="宋体"/>
                <w:szCs w:val="21"/>
              </w:rPr>
            </w:pPr>
            <w:r>
              <w:rPr>
                <w:rFonts w:ascii="宋体" w:hAnsi="宋体" w:cs="宋体"/>
                <w:b w:val="0"/>
                <w:bCs w:val="0"/>
                <w:szCs w:val="21"/>
              </w:rPr>
              <w:t>签订合同后15 日内完成软件部署、安装调试，系统全部功能可用并投入试运行，完成初验。</w:t>
            </w:r>
          </w:p>
        </w:tc>
      </w:tr>
    </w:tbl>
    <w:p w14:paraId="584A5069">
      <w:pPr>
        <w:rPr>
          <w:sz w:val="24"/>
          <w:szCs w:val="24"/>
        </w:rPr>
      </w:pPr>
      <w:r>
        <w:rPr>
          <w:rFonts w:hint="eastAsia"/>
          <w:sz w:val="24"/>
          <w:szCs w:val="24"/>
        </w:rPr>
        <w:br w:type="page"/>
      </w:r>
    </w:p>
    <w:p w14:paraId="5FCA7493">
      <w:pPr>
        <w:pStyle w:val="5"/>
        <w:spacing w:line="360" w:lineRule="auto"/>
        <w:jc w:val="center"/>
        <w:outlineLvl w:val="0"/>
        <w:rPr>
          <w:b/>
          <w:color w:val="000000"/>
          <w:sz w:val="36"/>
          <w:szCs w:val="36"/>
        </w:rPr>
      </w:pPr>
      <w:r>
        <w:rPr>
          <w:rFonts w:hint="eastAsia"/>
          <w:b/>
          <w:color w:val="000000"/>
          <w:sz w:val="36"/>
          <w:szCs w:val="36"/>
        </w:rPr>
        <w:t>比选标准</w:t>
      </w:r>
    </w:p>
    <w:p w14:paraId="1D5D8B39">
      <w:pPr>
        <w:pStyle w:val="6"/>
        <w:spacing w:line="240" w:lineRule="auto"/>
        <w:ind w:firstLine="0" w:firstLineChars="0"/>
        <w:outlineLvl w:val="0"/>
        <w:rPr>
          <w:rFonts w:ascii="宋体" w:eastAsia="宋体"/>
          <w:b/>
          <w:color w:val="000000"/>
        </w:rPr>
      </w:pPr>
      <w:bookmarkStart w:id="0" w:name="_Toc429147472"/>
      <w:r>
        <w:rPr>
          <w:rFonts w:hint="eastAsia" w:ascii="宋体" w:eastAsia="宋体"/>
          <w:b/>
          <w:color w:val="000000"/>
        </w:rPr>
        <w:t>1、比选方法</w:t>
      </w:r>
      <w:bookmarkEnd w:id="0"/>
    </w:p>
    <w:p w14:paraId="2663E277">
      <w:pPr>
        <w:spacing w:line="400" w:lineRule="exact"/>
        <w:ind w:firstLine="480" w:firstLineChars="200"/>
        <w:jc w:val="left"/>
        <w:rPr>
          <w:rFonts w:ascii="宋体"/>
          <w:color w:val="000000"/>
          <w:sz w:val="24"/>
        </w:rPr>
      </w:pPr>
      <w:r>
        <w:rPr>
          <w:rFonts w:hint="eastAsia" w:ascii="宋体"/>
          <w:color w:val="000000"/>
          <w:sz w:val="24"/>
        </w:rPr>
        <w:t>本项目采用综合评分法，即在最大限度满足需求文件实质性要求前提下，由比选委员会对各比选人报价、比选软件技术参数与功能配置、实施方案、实施人员、品牌市场能力、售后服务承诺、同类项目业绩等方面进行综合评审。经各评委独立打分，按总得分从高到低顺序推荐确定成交候选人。</w:t>
      </w:r>
    </w:p>
    <w:p w14:paraId="7904712D">
      <w:pPr>
        <w:pStyle w:val="5"/>
        <w:numPr>
          <w:ilvl w:val="0"/>
          <w:numId w:val="7"/>
        </w:numPr>
        <w:spacing w:line="380" w:lineRule="exact"/>
        <w:jc w:val="left"/>
        <w:rPr>
          <w:color w:val="000000"/>
          <w:szCs w:val="24"/>
        </w:rPr>
      </w:pPr>
      <w:r>
        <w:rPr>
          <w:rFonts w:hint="eastAsia"/>
          <w:b/>
          <w:color w:val="000000"/>
          <w:sz w:val="24"/>
          <w:szCs w:val="22"/>
        </w:rPr>
        <w:t>评分标准：</w:t>
      </w:r>
      <w:r>
        <w:rPr>
          <w:rFonts w:hAnsi="宋体" w:cs="宋体"/>
          <w:sz w:val="24"/>
          <w:szCs w:val="24"/>
        </w:rPr>
        <w:t>评分标准：总分 100 分，其中</w:t>
      </w:r>
      <w:r>
        <w:rPr>
          <w:rStyle w:val="13"/>
          <w:rFonts w:hAnsi="宋体" w:cs="宋体"/>
          <w:bCs/>
          <w:color w:val="000000"/>
          <w:sz w:val="24"/>
          <w:szCs w:val="24"/>
        </w:rPr>
        <w:t>技术分 70 分，商务分 30 分</w:t>
      </w:r>
      <w:r>
        <w:rPr>
          <w:rFonts w:hAnsi="宋体" w:cs="宋体"/>
          <w:sz w:val="24"/>
          <w:szCs w:val="24"/>
        </w:rPr>
        <w:t>。本次评标评委由 3 人或 3 人以上单数组成，计算技术分时，平均值保留小数 2 位。</w:t>
      </w:r>
    </w:p>
    <w:p w14:paraId="32F270BC">
      <w:pPr>
        <w:rPr>
          <w:rFonts w:ascii="宋体"/>
          <w:b/>
          <w:color w:val="000000"/>
          <w:sz w:val="24"/>
        </w:rPr>
      </w:pPr>
      <w:r>
        <w:rPr>
          <w:rFonts w:hint="eastAsia" w:ascii="宋体"/>
          <w:b/>
          <w:color w:val="000000"/>
          <w:sz w:val="24"/>
        </w:rPr>
        <w:t xml:space="preserve">2.1技术分（ </w:t>
      </w:r>
      <w:r>
        <w:rPr>
          <w:rFonts w:hint="eastAsia" w:ascii="宋体"/>
          <w:b/>
          <w:color w:val="000000"/>
          <w:sz w:val="28"/>
          <w:szCs w:val="28"/>
        </w:rPr>
        <w:t xml:space="preserve">70 </w:t>
      </w:r>
      <w:r>
        <w:rPr>
          <w:rFonts w:hint="eastAsia" w:ascii="宋体"/>
          <w:b/>
          <w:color w:val="000000"/>
          <w:sz w:val="24"/>
        </w:rPr>
        <w:t>分）</w:t>
      </w:r>
    </w:p>
    <w:tbl>
      <w:tblPr>
        <w:tblStyle w:val="1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1220"/>
        <w:gridCol w:w="925"/>
        <w:gridCol w:w="6199"/>
      </w:tblGrid>
      <w:tr w14:paraId="456D447F">
        <w:tc>
          <w:tcPr>
            <w:tcW w:w="558" w:type="pct"/>
            <w:vAlign w:val="center"/>
          </w:tcPr>
          <w:p w14:paraId="788B511E">
            <w:pPr>
              <w:jc w:val="center"/>
              <w:rPr>
                <w:szCs w:val="21"/>
              </w:rPr>
            </w:pPr>
            <w:r>
              <w:rPr>
                <w:rFonts w:hint="eastAsia"/>
                <w:szCs w:val="21"/>
              </w:rPr>
              <w:t>序号</w:t>
            </w:r>
          </w:p>
        </w:tc>
        <w:tc>
          <w:tcPr>
            <w:tcW w:w="649" w:type="pct"/>
            <w:vAlign w:val="center"/>
          </w:tcPr>
          <w:p w14:paraId="13B3E057">
            <w:pPr>
              <w:jc w:val="center"/>
              <w:rPr>
                <w:szCs w:val="21"/>
              </w:rPr>
            </w:pPr>
            <w:r>
              <w:rPr>
                <w:rFonts w:hint="eastAsia"/>
                <w:szCs w:val="21"/>
              </w:rPr>
              <w:t>评审因素</w:t>
            </w:r>
          </w:p>
        </w:tc>
        <w:tc>
          <w:tcPr>
            <w:tcW w:w="492" w:type="pct"/>
            <w:vAlign w:val="center"/>
          </w:tcPr>
          <w:p w14:paraId="5C104C4B">
            <w:pPr>
              <w:jc w:val="center"/>
              <w:rPr>
                <w:szCs w:val="21"/>
              </w:rPr>
            </w:pPr>
            <w:r>
              <w:rPr>
                <w:rFonts w:hint="eastAsia"/>
                <w:szCs w:val="21"/>
              </w:rPr>
              <w:t>分值</w:t>
            </w:r>
          </w:p>
        </w:tc>
        <w:tc>
          <w:tcPr>
            <w:tcW w:w="3299" w:type="pct"/>
            <w:vAlign w:val="center"/>
          </w:tcPr>
          <w:p w14:paraId="76B22791">
            <w:pPr>
              <w:jc w:val="center"/>
              <w:rPr>
                <w:szCs w:val="21"/>
              </w:rPr>
            </w:pPr>
            <w:r>
              <w:rPr>
                <w:rFonts w:hint="eastAsia"/>
                <w:szCs w:val="21"/>
              </w:rPr>
              <w:t>评分标准说明</w:t>
            </w:r>
          </w:p>
        </w:tc>
      </w:tr>
      <w:tr w14:paraId="0E8095E9">
        <w:trPr>
          <w:trHeight w:val="2373" w:hRule="atLeast"/>
        </w:trPr>
        <w:tc>
          <w:tcPr>
            <w:tcW w:w="558" w:type="pct"/>
            <w:vAlign w:val="center"/>
          </w:tcPr>
          <w:p w14:paraId="0BE98771">
            <w:pPr>
              <w:jc w:val="center"/>
              <w:rPr>
                <w:szCs w:val="21"/>
              </w:rPr>
            </w:pPr>
            <w:r>
              <w:rPr>
                <w:rFonts w:hint="eastAsia"/>
                <w:szCs w:val="21"/>
              </w:rPr>
              <w:t>1</w:t>
            </w:r>
          </w:p>
        </w:tc>
        <w:tc>
          <w:tcPr>
            <w:tcW w:w="649" w:type="pct"/>
            <w:vAlign w:val="center"/>
          </w:tcPr>
          <w:p w14:paraId="18FDC296">
            <w:pPr>
              <w:jc w:val="center"/>
              <w:rPr>
                <w:szCs w:val="21"/>
              </w:rPr>
            </w:pPr>
            <w:r>
              <w:rPr>
                <w:rFonts w:ascii="宋体" w:hAnsi="宋体" w:cs="宋体"/>
                <w:szCs w:val="21"/>
              </w:rPr>
              <w:t>技术方案与需求响应</w:t>
            </w:r>
          </w:p>
        </w:tc>
        <w:tc>
          <w:tcPr>
            <w:tcW w:w="492" w:type="pct"/>
            <w:vAlign w:val="center"/>
          </w:tcPr>
          <w:p w14:paraId="0D66CA8B">
            <w:pPr>
              <w:jc w:val="center"/>
              <w:rPr>
                <w:szCs w:val="21"/>
              </w:rPr>
            </w:pPr>
            <w:r>
              <w:rPr>
                <w:rFonts w:hint="eastAsia"/>
                <w:szCs w:val="21"/>
              </w:rPr>
              <w:t>3</w:t>
            </w:r>
            <w:r>
              <w:rPr>
                <w:szCs w:val="21"/>
              </w:rPr>
              <w:t>0</w:t>
            </w:r>
          </w:p>
        </w:tc>
        <w:tc>
          <w:tcPr>
            <w:tcW w:w="3299" w:type="pct"/>
            <w:vAlign w:val="center"/>
          </w:tcPr>
          <w:p w14:paraId="4D527ED6">
            <w:pPr>
              <w:jc w:val="left"/>
              <w:rPr>
                <w:rFonts w:ascii="宋体" w:hAnsi="宋体" w:cs="宋体"/>
                <w:szCs w:val="21"/>
              </w:rPr>
            </w:pPr>
            <w:r>
              <w:rPr>
                <w:rFonts w:ascii="宋体" w:hAnsi="宋体" w:cs="宋体"/>
                <w:szCs w:val="21"/>
              </w:rPr>
              <w:t>根据报价人提供的整体技术方案、功能点对点应答表进行综合考察，重点考察：方案对本项目智能语料库教学科研平台业务场景理解深度、系统总体架构设计、用户前端与管理后台两套子系统设计、语料缓存性能方案、全部功能模块逐条应答情况，同时需要配套提供平台功能截图、架构说明文档作为证明材料。</w:t>
            </w:r>
          </w:p>
          <w:p w14:paraId="61FCB3A2">
            <w:pPr>
              <w:jc w:val="left"/>
              <w:rPr>
                <w:rFonts w:ascii="宋体" w:hAnsi="宋体" w:cs="宋体"/>
                <w:szCs w:val="21"/>
              </w:rPr>
            </w:pPr>
            <w:r>
              <w:rPr>
                <w:rFonts w:ascii="宋体" w:hAnsi="宋体" w:cs="宋体"/>
                <w:szCs w:val="21"/>
              </w:rPr>
              <w:t>本项目软件必须同时具备：门户登录注册、公共 / 个人私有语料库管理、教学模块（语篇展示、翻译策略例句检索）、全套科研分析功能（支持正则检索的词频 / KWIC / 索引行 / 词簇 / 搭配图谱分析）、术语</w:t>
            </w:r>
            <w:r>
              <w:rPr>
                <w:rFonts w:ascii="宋体" w:hAnsi="宋体" w:cs="宋体"/>
                <w:szCs w:val="21"/>
              </w:rPr>
              <w:noBreakHyphen/>
            </w:r>
            <w:r>
              <w:rPr>
                <w:rFonts w:ascii="宋体" w:hAnsi="宋体" w:cs="宋体"/>
                <w:szCs w:val="21"/>
              </w:rPr>
              <w:t>典故</w:t>
            </w:r>
            <w:r>
              <w:rPr>
                <w:rFonts w:ascii="宋体" w:hAnsi="宋体" w:cs="宋体"/>
                <w:szCs w:val="21"/>
              </w:rPr>
              <w:noBreakHyphen/>
            </w:r>
            <w:r>
              <w:rPr>
                <w:rFonts w:ascii="宋体" w:hAnsi="宋体" w:cs="宋体"/>
                <w:szCs w:val="21"/>
              </w:rPr>
              <w:t>文献后台管理、大数据量语料缓存优化机制。</w:t>
            </w:r>
          </w:p>
          <w:p w14:paraId="315A2049">
            <w:pPr>
              <w:jc w:val="left"/>
              <w:rPr>
                <w:rFonts w:ascii="宋体" w:hAnsi="宋体" w:cs="宋体"/>
                <w:szCs w:val="21"/>
              </w:rPr>
            </w:pPr>
            <w:r>
              <w:rPr>
                <w:rFonts w:ascii="宋体" w:hAnsi="宋体" w:cs="宋体"/>
                <w:szCs w:val="21"/>
              </w:rPr>
              <w:t>横向打分：</w:t>
            </w:r>
          </w:p>
          <w:p w14:paraId="2E053600">
            <w:pPr>
              <w:jc w:val="left"/>
              <w:rPr>
                <w:rFonts w:ascii="宋体" w:hAnsi="宋体" w:cs="宋体"/>
                <w:szCs w:val="21"/>
              </w:rPr>
            </w:pPr>
            <w:r>
              <w:rPr>
                <w:rFonts w:ascii="宋体" w:hAnsi="宋体" w:cs="宋体"/>
                <w:szCs w:val="21"/>
              </w:rPr>
              <w:t>方案周密完善，完全理解高校多语种语料科研教学业务，全部核心功能无负偏离，提供用户端 + 管理后台完整截图、架构文档、缓存性能方案，证明文件齐全，得 30 分；</w:t>
            </w:r>
          </w:p>
          <w:p w14:paraId="15DD7505">
            <w:pPr>
              <w:jc w:val="left"/>
              <w:rPr>
                <w:rFonts w:ascii="宋体" w:hAnsi="宋体" w:cs="宋体"/>
                <w:szCs w:val="21"/>
              </w:rPr>
            </w:pPr>
            <w:r>
              <w:rPr>
                <w:rFonts w:ascii="宋体" w:hAnsi="宋体" w:cs="宋体"/>
                <w:szCs w:val="21"/>
              </w:rPr>
              <w:t>方案基本完整，全部核心功能满足需求，对业务场景理解基本到位，具备主要证明材料，仅少量非关键细节描述不足，得 25 分；</w:t>
            </w:r>
          </w:p>
          <w:p w14:paraId="7B272874">
            <w:pPr>
              <w:jc w:val="left"/>
              <w:rPr>
                <w:rFonts w:ascii="宋体" w:hAnsi="宋体" w:cs="宋体"/>
                <w:szCs w:val="21"/>
              </w:rPr>
            </w:pPr>
            <w:r>
              <w:rPr>
                <w:rFonts w:ascii="宋体" w:hAnsi="宋体" w:cs="宋体"/>
                <w:szCs w:val="21"/>
              </w:rPr>
              <w:t>方案存在瑕疵，个别非核心功能存在负偏离，对个人私有语料库、科研正则检索、术语典故后台、缓存优化机制理解不足，证明文件有所缺失，得 20 分；</w:t>
            </w:r>
          </w:p>
          <w:p w14:paraId="7F3E7C6B">
            <w:pPr>
              <w:jc w:val="left"/>
              <w:rPr>
                <w:rFonts w:ascii="宋体" w:hAnsi="宋体" w:cs="宋体"/>
                <w:szCs w:val="21"/>
              </w:rPr>
            </w:pPr>
            <w:r>
              <w:rPr>
                <w:rFonts w:ascii="宋体" w:hAnsi="宋体" w:cs="宋体"/>
                <w:szCs w:val="21"/>
              </w:rPr>
              <w:t>方案完整性差，多项核心功能存在负偏离，缺少用户端或管理后台其中一套子系统方案，关键证明材料缺失，得 15 分；</w:t>
            </w:r>
          </w:p>
          <w:p w14:paraId="5A1EA15F">
            <w:pPr>
              <w:jc w:val="left"/>
              <w:rPr>
                <w:rFonts w:ascii="宋体" w:hAnsi="宋体" w:cs="宋体"/>
                <w:szCs w:val="21"/>
              </w:rPr>
            </w:pPr>
            <w:r>
              <w:rPr>
                <w:rFonts w:ascii="宋体" w:hAnsi="宋体" w:cs="宋体"/>
                <w:szCs w:val="21"/>
              </w:rPr>
              <w:t>未提交完整技术方案，或者未提交功能点对点应答表，本项不得分。</w:t>
            </w:r>
          </w:p>
        </w:tc>
      </w:tr>
      <w:tr w14:paraId="5FC55BB2">
        <w:tc>
          <w:tcPr>
            <w:tcW w:w="558" w:type="pct"/>
            <w:vAlign w:val="center"/>
          </w:tcPr>
          <w:p w14:paraId="7603C1D1">
            <w:pPr>
              <w:jc w:val="center"/>
              <w:rPr>
                <w:szCs w:val="21"/>
              </w:rPr>
            </w:pPr>
            <w:r>
              <w:rPr>
                <w:rFonts w:hint="eastAsia"/>
                <w:szCs w:val="21"/>
              </w:rPr>
              <w:t>2</w:t>
            </w:r>
          </w:p>
        </w:tc>
        <w:tc>
          <w:tcPr>
            <w:tcW w:w="649" w:type="pct"/>
            <w:vAlign w:val="center"/>
          </w:tcPr>
          <w:p w14:paraId="092F5548">
            <w:pPr>
              <w:jc w:val="center"/>
              <w:rPr>
                <w:szCs w:val="21"/>
              </w:rPr>
            </w:pPr>
            <w:r>
              <w:rPr>
                <w:rFonts w:ascii="宋体" w:hAnsi="宋体" w:cs="宋体"/>
                <w:szCs w:val="21"/>
              </w:rPr>
              <w:t>项目实施与进度计划</w:t>
            </w:r>
          </w:p>
        </w:tc>
        <w:tc>
          <w:tcPr>
            <w:tcW w:w="492" w:type="pct"/>
            <w:vAlign w:val="center"/>
          </w:tcPr>
          <w:p w14:paraId="10EA33FE">
            <w:pPr>
              <w:jc w:val="center"/>
              <w:rPr>
                <w:szCs w:val="21"/>
              </w:rPr>
            </w:pPr>
            <w:r>
              <w:rPr>
                <w:rFonts w:hint="eastAsia"/>
                <w:szCs w:val="21"/>
              </w:rPr>
              <w:t>1</w:t>
            </w:r>
            <w:r>
              <w:rPr>
                <w:szCs w:val="21"/>
              </w:rPr>
              <w:t>0</w:t>
            </w:r>
          </w:p>
        </w:tc>
        <w:tc>
          <w:tcPr>
            <w:tcW w:w="3299" w:type="pct"/>
            <w:vAlign w:val="center"/>
          </w:tcPr>
          <w:p w14:paraId="1B48EAEF">
            <w:pPr>
              <w:jc w:val="left"/>
              <w:rPr>
                <w:rFonts w:ascii="宋体" w:hAnsi="宋体" w:cs="宋体"/>
                <w:szCs w:val="21"/>
              </w:rPr>
            </w:pPr>
            <w:r>
              <w:rPr>
                <w:rFonts w:ascii="宋体" w:hAnsi="宋体" w:cs="宋体"/>
                <w:szCs w:val="21"/>
              </w:rPr>
              <w:t>考察完整实施全流程方案，包含：环境适配部署方案、语料缓存初始化生成方案、系统功能测试方案、数据迁移与初始化方案、分阶段进度安排、初验终验验收方案、质量风险防控措施。交付期必须满足采购文件 “合同签订后 15 日内完成部署调试投入试运行、完成初验” 硬性要求。</w:t>
            </w:r>
          </w:p>
          <w:p w14:paraId="04497515">
            <w:pPr>
              <w:jc w:val="left"/>
              <w:rPr>
                <w:rFonts w:ascii="宋体" w:hAnsi="宋体" w:cs="宋体"/>
                <w:szCs w:val="21"/>
              </w:rPr>
            </w:pPr>
            <w:r>
              <w:rPr>
                <w:rFonts w:ascii="宋体" w:hAnsi="宋体" w:cs="宋体"/>
                <w:szCs w:val="21"/>
              </w:rPr>
              <w:t>横向对比：</w:t>
            </w:r>
          </w:p>
          <w:p w14:paraId="4982DB0A">
            <w:pPr>
              <w:jc w:val="left"/>
              <w:rPr>
                <w:rFonts w:ascii="宋体" w:hAnsi="宋体" w:cs="宋体"/>
                <w:szCs w:val="21"/>
              </w:rPr>
            </w:pPr>
            <w:r>
              <w:rPr>
                <w:rFonts w:ascii="宋体" w:hAnsi="宋体" w:cs="宋体"/>
                <w:szCs w:val="21"/>
              </w:rPr>
              <w:t>交付期满足采购文件，包含服务器适配、缓存初始化、功能测试、培训、完整验收流程，风险识别与保障措施完备，进度节点划分清晰严谨，得 10 分；</w:t>
            </w:r>
          </w:p>
          <w:p w14:paraId="2FC73064">
            <w:pPr>
              <w:jc w:val="left"/>
              <w:rPr>
                <w:rFonts w:ascii="宋体" w:hAnsi="宋体" w:cs="宋体"/>
                <w:szCs w:val="21"/>
              </w:rPr>
            </w:pPr>
            <w:r>
              <w:rPr>
                <w:rFonts w:ascii="宋体" w:hAnsi="宋体" w:cs="宋体"/>
                <w:szCs w:val="21"/>
              </w:rPr>
              <w:t>交付期满足采购文件，具备实施、测试、验收主要环节方案，风险保障措施基本到位，部分细节简略，得 8 分；</w:t>
            </w:r>
          </w:p>
          <w:p w14:paraId="0D52993D">
            <w:pPr>
              <w:jc w:val="left"/>
              <w:rPr>
                <w:rFonts w:ascii="宋体" w:hAnsi="宋体" w:cs="宋体"/>
                <w:szCs w:val="21"/>
              </w:rPr>
            </w:pPr>
            <w:r>
              <w:rPr>
                <w:rFonts w:ascii="宋体" w:hAnsi="宋体" w:cs="宋体"/>
                <w:szCs w:val="21"/>
              </w:rPr>
              <w:t>交付期基本满足采购文件，实施流程描述简单，缺少语料缓存初始化等专项环节，验收方案存在瑕疵，风险防控措施单薄，得 6 分；</w:t>
            </w:r>
          </w:p>
          <w:p w14:paraId="77E7636D">
            <w:pPr>
              <w:jc w:val="left"/>
              <w:rPr>
                <w:rFonts w:ascii="宋体" w:hAnsi="宋体" w:cs="宋体"/>
                <w:szCs w:val="21"/>
              </w:rPr>
            </w:pPr>
            <w:r>
              <w:rPr>
                <w:rFonts w:ascii="宋体" w:hAnsi="宋体" w:cs="宋体"/>
                <w:szCs w:val="21"/>
              </w:rPr>
              <w:t>交付期不满足采购文件硬性时间要求，实施计划缺失关键环节，验收方案存在重大瑕疵，得 4 分。</w:t>
            </w:r>
          </w:p>
        </w:tc>
      </w:tr>
      <w:tr w14:paraId="7AF4A46C">
        <w:tc>
          <w:tcPr>
            <w:tcW w:w="558" w:type="pct"/>
            <w:vAlign w:val="center"/>
          </w:tcPr>
          <w:p w14:paraId="315B9B33">
            <w:pPr>
              <w:jc w:val="center"/>
              <w:rPr>
                <w:szCs w:val="21"/>
              </w:rPr>
            </w:pPr>
            <w:r>
              <w:rPr>
                <w:rFonts w:hint="eastAsia"/>
                <w:szCs w:val="21"/>
              </w:rPr>
              <w:t>3</w:t>
            </w:r>
          </w:p>
        </w:tc>
        <w:tc>
          <w:tcPr>
            <w:tcW w:w="649" w:type="pct"/>
            <w:vAlign w:val="center"/>
          </w:tcPr>
          <w:p w14:paraId="225DBDB5">
            <w:pPr>
              <w:jc w:val="center"/>
              <w:rPr>
                <w:szCs w:val="21"/>
              </w:rPr>
            </w:pPr>
            <w:r>
              <w:rPr>
                <w:rFonts w:ascii="宋体" w:hAnsi="宋体" w:cs="宋体"/>
                <w:szCs w:val="21"/>
              </w:rPr>
              <w:t>项目实施人员配置</w:t>
            </w:r>
          </w:p>
        </w:tc>
        <w:tc>
          <w:tcPr>
            <w:tcW w:w="492" w:type="pct"/>
            <w:vAlign w:val="center"/>
          </w:tcPr>
          <w:p w14:paraId="4299B379">
            <w:pPr>
              <w:jc w:val="center"/>
              <w:rPr>
                <w:szCs w:val="21"/>
              </w:rPr>
            </w:pPr>
            <w:r>
              <w:rPr>
                <w:rFonts w:hint="eastAsia"/>
                <w:szCs w:val="21"/>
              </w:rPr>
              <w:t>1</w:t>
            </w:r>
            <w:r>
              <w:rPr>
                <w:szCs w:val="21"/>
              </w:rPr>
              <w:t>0</w:t>
            </w:r>
          </w:p>
        </w:tc>
        <w:tc>
          <w:tcPr>
            <w:tcW w:w="3299" w:type="pct"/>
            <w:vAlign w:val="center"/>
          </w:tcPr>
          <w:p w14:paraId="48832354">
            <w:pPr>
              <w:jc w:val="left"/>
              <w:rPr>
                <w:rFonts w:ascii="宋体" w:hAnsi="宋体" w:cs="宋体"/>
                <w:szCs w:val="21"/>
              </w:rPr>
            </w:pPr>
            <w:r>
              <w:rPr>
                <w:rFonts w:ascii="宋体" w:hAnsi="宋体" w:cs="宋体"/>
                <w:szCs w:val="21"/>
              </w:rPr>
              <w:t>根据报价人提供的项目服务人员实施服务能力情况进行考察，本项目业务兼具 Web 开发、语料库业务、多语言文本处理，评审重点看投入人员：人员数量、后端 Java 开发人员、前端 Angular 开发人员、语料业务实施人员配置；人员是否具备语料库、多语言教学科研软件项目实战经历；人员劳动雇佣真实性。必须提供：参与项目全部人员身份证复印件、和投标人签订有效劳动合同、对应语料库类项目参与证明材料（合同扫描件、项目署名材料，加盖公章），材料不全则按对应下一档评分。</w:t>
            </w:r>
          </w:p>
          <w:p w14:paraId="02C5B06C">
            <w:pPr>
              <w:jc w:val="left"/>
              <w:rPr>
                <w:rFonts w:ascii="宋体" w:hAnsi="宋体" w:cs="宋体"/>
                <w:szCs w:val="21"/>
              </w:rPr>
            </w:pPr>
            <w:r>
              <w:rPr>
                <w:rFonts w:ascii="宋体" w:hAnsi="宋体" w:cs="宋体"/>
                <w:szCs w:val="21"/>
              </w:rPr>
              <w:t>投入团队配置完整，同时配备后端、前端、语料业务实施人员，多名人员具备同类高校语料库平台完整项目落地经验，劳动手续齐全，证明材料完备，得 10 分；</w:t>
            </w:r>
          </w:p>
          <w:p w14:paraId="4E2C7431">
            <w:pPr>
              <w:jc w:val="left"/>
              <w:rPr>
                <w:rFonts w:ascii="宋体" w:hAnsi="宋体" w:cs="宋体"/>
                <w:szCs w:val="21"/>
              </w:rPr>
            </w:pPr>
            <w:r>
              <w:rPr>
                <w:rFonts w:ascii="宋体" w:hAnsi="宋体" w:cs="宋体"/>
                <w:szCs w:val="21"/>
              </w:rPr>
              <w:t>投入人员配置能够满足项目实施，主要人员具备语料或语言软件项目经验，劳动手续完善，证明材料齐全，得 8 分；</w:t>
            </w:r>
          </w:p>
          <w:p w14:paraId="5D31C38F">
            <w:pPr>
              <w:jc w:val="left"/>
              <w:rPr>
                <w:rFonts w:ascii="宋体" w:hAnsi="宋体" w:cs="宋体"/>
                <w:szCs w:val="21"/>
              </w:rPr>
            </w:pPr>
            <w:r>
              <w:rPr>
                <w:rFonts w:ascii="宋体" w:hAnsi="宋体" w:cs="宋体"/>
                <w:szCs w:val="21"/>
              </w:rPr>
              <w:t>投入人员配置基本够用，缺少专项语料业务实施人员，相关项目实践经历一般，劳动手续完善，得 6 分；</w:t>
            </w:r>
          </w:p>
          <w:p w14:paraId="01439BDB">
            <w:pPr>
              <w:jc w:val="left"/>
              <w:rPr>
                <w:rFonts w:ascii="宋体" w:hAnsi="宋体" w:cs="宋体"/>
                <w:szCs w:val="21"/>
              </w:rPr>
            </w:pPr>
            <w:r>
              <w:rPr>
                <w:rFonts w:ascii="宋体" w:hAnsi="宋体" w:cs="宋体"/>
                <w:szCs w:val="21"/>
              </w:rPr>
              <w:t>投入人员配置单薄，无具备语料库业务相关经验人员，劳动手续完善，得 4 分。</w:t>
            </w:r>
          </w:p>
        </w:tc>
      </w:tr>
      <w:tr w14:paraId="08AECC2E">
        <w:tc>
          <w:tcPr>
            <w:tcW w:w="558" w:type="pct"/>
            <w:vAlign w:val="center"/>
          </w:tcPr>
          <w:p w14:paraId="1654BD72">
            <w:pPr>
              <w:jc w:val="center"/>
              <w:rPr>
                <w:szCs w:val="21"/>
              </w:rPr>
            </w:pPr>
            <w:r>
              <w:rPr>
                <w:rFonts w:hint="eastAsia"/>
                <w:szCs w:val="21"/>
              </w:rPr>
              <w:t>4</w:t>
            </w:r>
          </w:p>
        </w:tc>
        <w:tc>
          <w:tcPr>
            <w:tcW w:w="649" w:type="pct"/>
            <w:vAlign w:val="center"/>
          </w:tcPr>
          <w:p w14:paraId="4BF47BC8">
            <w:pPr>
              <w:jc w:val="center"/>
              <w:rPr>
                <w:rFonts w:hint="eastAsia"/>
                <w:szCs w:val="21"/>
              </w:rPr>
            </w:pPr>
            <w:r>
              <w:rPr>
                <w:rFonts w:ascii="宋体" w:hAnsi="宋体" w:cs="宋体"/>
                <w:szCs w:val="21"/>
              </w:rPr>
              <w:t>售后服务</w:t>
            </w:r>
          </w:p>
        </w:tc>
        <w:tc>
          <w:tcPr>
            <w:tcW w:w="492" w:type="pct"/>
            <w:vAlign w:val="center"/>
          </w:tcPr>
          <w:p w14:paraId="5FC81AAD">
            <w:pPr>
              <w:jc w:val="center"/>
              <w:rPr>
                <w:szCs w:val="21"/>
              </w:rPr>
            </w:pPr>
            <w:r>
              <w:rPr>
                <w:rFonts w:hint="eastAsia"/>
                <w:szCs w:val="21"/>
              </w:rPr>
              <w:t>1</w:t>
            </w:r>
            <w:r>
              <w:rPr>
                <w:szCs w:val="21"/>
              </w:rPr>
              <w:t>0</w:t>
            </w:r>
          </w:p>
        </w:tc>
        <w:tc>
          <w:tcPr>
            <w:tcW w:w="3299" w:type="pct"/>
            <w:vAlign w:val="center"/>
          </w:tcPr>
          <w:p w14:paraId="6DEEBB46">
            <w:pPr>
              <w:jc w:val="left"/>
              <w:rPr>
                <w:rFonts w:ascii="宋体" w:hAnsi="宋体" w:cs="宋体"/>
                <w:szCs w:val="21"/>
              </w:rPr>
            </w:pPr>
            <w:r>
              <w:rPr>
                <w:rFonts w:ascii="宋体" w:hAnsi="宋体" w:cs="宋体"/>
                <w:szCs w:val="21"/>
              </w:rPr>
              <w:t>考察售后服务整体方案，重点评审：7×24 小时技术支持落地保障、远程 + 现场故障处置流程、季度巡检内容、数据备份策略、纠错升级机制、分级培训方案（管理员深度培训、普通使用用户操作培训）、操作手册交付、回访机制、固定服务场所及服务配套条件。</w:t>
            </w:r>
          </w:p>
          <w:p w14:paraId="35B0B4B1">
            <w:pPr>
              <w:jc w:val="left"/>
              <w:rPr>
                <w:rFonts w:ascii="宋体" w:hAnsi="宋体" w:cs="宋体"/>
                <w:szCs w:val="21"/>
              </w:rPr>
            </w:pPr>
            <w:r>
              <w:rPr>
                <w:rFonts w:ascii="宋体" w:hAnsi="宋体" w:cs="宋体"/>
                <w:szCs w:val="21"/>
              </w:rPr>
              <w:t>免费质保计划周密完整，7×24 小时响应、故障处置承诺优于采购文件要求，区分管理员 / 普通用户两级培训，明确季度巡检、定期数据备份执行细则，服务证明材料齐全，得 8 分；</w:t>
            </w:r>
          </w:p>
          <w:p w14:paraId="5FCCDDE0">
            <w:pPr>
              <w:jc w:val="left"/>
              <w:rPr>
                <w:rFonts w:ascii="宋体" w:hAnsi="宋体" w:cs="宋体"/>
                <w:szCs w:val="21"/>
              </w:rPr>
            </w:pPr>
            <w:r>
              <w:rPr>
                <w:rFonts w:ascii="宋体" w:hAnsi="宋体" w:cs="宋体"/>
                <w:szCs w:val="21"/>
              </w:rPr>
              <w:t>免费质保计划完整，全部满足采购文件售后条款，培训方案完整，巡检、备份内容有明确说明，得 6 分；</w:t>
            </w:r>
          </w:p>
          <w:p w14:paraId="5EF5DF74">
            <w:pPr>
              <w:jc w:val="left"/>
              <w:rPr>
                <w:rFonts w:ascii="宋体" w:hAnsi="宋体" w:cs="宋体"/>
                <w:szCs w:val="21"/>
              </w:rPr>
            </w:pPr>
            <w:r>
              <w:rPr>
                <w:rFonts w:ascii="宋体" w:hAnsi="宋体" w:cs="宋体"/>
                <w:szCs w:val="21"/>
              </w:rPr>
              <w:t>免费质保计划存在瑕疵，故障响应、巡检、备份部分内容未明确，培训方案简单笼统，得 4 分；</w:t>
            </w:r>
          </w:p>
          <w:p w14:paraId="29BC4A58">
            <w:pPr>
              <w:jc w:val="left"/>
              <w:rPr>
                <w:rFonts w:ascii="宋体" w:hAnsi="宋体" w:cs="宋体"/>
                <w:szCs w:val="21"/>
              </w:rPr>
            </w:pPr>
            <w:r>
              <w:rPr>
                <w:rFonts w:ascii="宋体" w:hAnsi="宋体" w:cs="宋体"/>
                <w:szCs w:val="21"/>
              </w:rPr>
              <w:t>不满足采购文件实质性售后条款要求，本项不得分。</w:t>
            </w:r>
          </w:p>
          <w:p w14:paraId="7D3D786D">
            <w:pPr>
              <w:jc w:val="left"/>
              <w:rPr>
                <w:rFonts w:ascii="宋体" w:hAnsi="宋体" w:cs="宋体"/>
                <w:szCs w:val="21"/>
              </w:rPr>
            </w:pPr>
            <w:r>
              <w:rPr>
                <w:rFonts w:ascii="宋体" w:hAnsi="宋体" w:cs="宋体"/>
                <w:szCs w:val="21"/>
              </w:rPr>
              <w:t>额外加分：投标人承诺的免费质保期高于采购文件基础要求，每多 1 年加 1 分，最高加 2 分。</w:t>
            </w:r>
          </w:p>
        </w:tc>
      </w:tr>
      <w:tr w14:paraId="1C50662B">
        <w:tc>
          <w:tcPr>
            <w:tcW w:w="558" w:type="pct"/>
            <w:vAlign w:val="center"/>
          </w:tcPr>
          <w:p w14:paraId="34DBC233">
            <w:pPr>
              <w:jc w:val="center"/>
              <w:rPr>
                <w:szCs w:val="21"/>
              </w:rPr>
            </w:pPr>
            <w:r>
              <w:rPr>
                <w:rFonts w:hint="eastAsia"/>
                <w:szCs w:val="21"/>
              </w:rPr>
              <w:t>5</w:t>
            </w:r>
          </w:p>
        </w:tc>
        <w:tc>
          <w:tcPr>
            <w:tcW w:w="649" w:type="pct"/>
            <w:vAlign w:val="center"/>
          </w:tcPr>
          <w:p w14:paraId="6DB5EEEC">
            <w:pPr>
              <w:jc w:val="center"/>
              <w:rPr>
                <w:szCs w:val="21"/>
              </w:rPr>
            </w:pPr>
            <w:r>
              <w:rPr>
                <w:rFonts w:hint="eastAsia"/>
                <w:szCs w:val="21"/>
              </w:rPr>
              <w:t>履约能力</w:t>
            </w:r>
          </w:p>
        </w:tc>
        <w:tc>
          <w:tcPr>
            <w:tcW w:w="492" w:type="pct"/>
            <w:vAlign w:val="center"/>
          </w:tcPr>
          <w:p w14:paraId="114B2E74">
            <w:pPr>
              <w:jc w:val="center"/>
              <w:rPr>
                <w:szCs w:val="21"/>
              </w:rPr>
            </w:pPr>
            <w:r>
              <w:rPr>
                <w:rFonts w:hint="eastAsia"/>
                <w:szCs w:val="21"/>
              </w:rPr>
              <w:t>1</w:t>
            </w:r>
            <w:r>
              <w:rPr>
                <w:szCs w:val="21"/>
              </w:rPr>
              <w:t>0</w:t>
            </w:r>
          </w:p>
        </w:tc>
        <w:tc>
          <w:tcPr>
            <w:tcW w:w="3299" w:type="pct"/>
            <w:vAlign w:val="center"/>
          </w:tcPr>
          <w:p w14:paraId="628C0F56">
            <w:pPr>
              <w:jc w:val="left"/>
              <w:rPr>
                <w:szCs w:val="21"/>
              </w:rPr>
            </w:pPr>
            <w:r>
              <w:rPr>
                <w:szCs w:val="21"/>
              </w:rPr>
              <w:t>报价人提供 2022</w:t>
            </w:r>
            <w:r>
              <w:rPr>
                <w:szCs w:val="21"/>
              </w:rPr>
              <w:noBreakHyphen/>
            </w:r>
            <w:r>
              <w:rPr>
                <w:szCs w:val="21"/>
              </w:rPr>
              <w:t>06</w:t>
            </w:r>
            <w:r>
              <w:rPr>
                <w:szCs w:val="21"/>
              </w:rPr>
              <w:noBreakHyphen/>
            </w:r>
            <w:r>
              <w:rPr>
                <w:szCs w:val="21"/>
              </w:rPr>
              <w:t>26 以来完成的语料库平台、多语种语言科研教学软件类类似项目业绩合同；每提供 1 份有效合同得 2 分，本项最多得 10 分。</w:t>
            </w:r>
          </w:p>
          <w:p w14:paraId="779BD01D">
            <w:pPr>
              <w:jc w:val="left"/>
              <w:rPr>
                <w:szCs w:val="21"/>
              </w:rPr>
            </w:pPr>
            <w:r>
              <w:rPr>
                <w:szCs w:val="21"/>
              </w:rPr>
              <w:t>有效业绩要求：提供合同首页、合同产品 / 服务内容页、双方签字盖章页复印件并加盖公章；业绩需要体现语料库、平行语料、语言科研平台相关建设内容；普通信息化、通用网站类项目视为无关业绩；材料不全或者业务不相关均视为无效业绩，不计分。</w:t>
            </w:r>
          </w:p>
        </w:tc>
      </w:tr>
    </w:tbl>
    <w:p w14:paraId="7A6644E8">
      <w:pPr>
        <w:pStyle w:val="5"/>
        <w:spacing w:line="440" w:lineRule="exact"/>
        <w:jc w:val="left"/>
        <w:rPr>
          <w:color w:val="000000"/>
        </w:rPr>
      </w:pPr>
    </w:p>
    <w:p w14:paraId="1A8DB523">
      <w:pPr>
        <w:rPr>
          <w:rFonts w:ascii="宋体"/>
          <w:b/>
          <w:color w:val="000000"/>
          <w:sz w:val="24"/>
        </w:rPr>
      </w:pPr>
      <w:r>
        <w:rPr>
          <w:rFonts w:hint="eastAsia" w:ascii="宋体"/>
          <w:b/>
          <w:color w:val="000000"/>
          <w:sz w:val="24"/>
        </w:rPr>
        <w:t>2.2商务分（30 分）</w:t>
      </w:r>
    </w:p>
    <w:p w14:paraId="278B8AE9">
      <w:pPr>
        <w:rPr>
          <w:sz w:val="24"/>
          <w:szCs w:val="24"/>
        </w:rPr>
      </w:pPr>
      <w:r>
        <w:rPr>
          <w:rFonts w:hint="eastAsia" w:ascii="宋体"/>
          <w:color w:val="000000"/>
          <w:sz w:val="24"/>
        </w:rPr>
        <w:t>评分基准价：即满足需求文件要求且比选价格最低的比选报价为评标基准价，其价格分为满分。其他价格</w:t>
      </w:r>
      <w:r>
        <w:rPr>
          <w:rFonts w:hint="eastAsia"/>
          <w:sz w:val="24"/>
          <w:szCs w:val="24"/>
        </w:rPr>
        <w:t>每上浮5000元扣1分。</w:t>
      </w:r>
    </w:p>
    <w:p w14:paraId="1320C12A">
      <w:pPr>
        <w:rPr>
          <w:sz w:val="24"/>
          <w:szCs w:val="24"/>
        </w:rPr>
      </w:pPr>
    </w:p>
    <w:sectPr>
      <w:footerReference r:id="rId3" w:type="default"/>
      <w:pgSz w:w="11906" w:h="16838"/>
      <w:pgMar w:top="1361" w:right="1361" w:bottom="1361" w:left="1361"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7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仿宋-简"/>
    <w:panose1 w:val="02010609030101010101"/>
    <w:charset w:val="86"/>
    <w:family w:val="modern"/>
    <w:pitch w:val="default"/>
    <w:sig w:usb0="00000000" w:usb1="00000000" w:usb2="00000010" w:usb3="00000000" w:csb0="00040000" w:csb1="00000000"/>
  </w:font>
  <w:font w:name="Wingdings 2">
    <w:altName w:val="Thonburi"/>
    <w:panose1 w:val="05020102010507070707"/>
    <w:charset w:val="02"/>
    <w:family w:val="roman"/>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806000000020004"/>
    <w:charset w:val="00"/>
    <w:family w:val="auto"/>
    <w:pitch w:val="default"/>
    <w:sig w:usb0="A00002FF" w:usb1="5000205A" w:usb2="00000000" w:usb3="00000000" w:csb0="00000000" w:csb1="00000000"/>
  </w:font>
  <w:font w:name="Thonburi">
    <w:panose1 w:val="00000400000000000000"/>
    <w:charset w:val="00"/>
    <w:family w:val="auto"/>
    <w:pitch w:val="default"/>
    <w:sig w:usb0="01000000" w:usb1="00000000" w:usb2="00000000" w:usb3="00000000" w:csb0="20000193" w:csb1="4D000000"/>
  </w:font>
  <w:font w:name="Kingsoft UE">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Apple SD Gothic Neo">
    <w:panose1 w:val="02000300000000000000"/>
    <w:charset w:val="81"/>
    <w:family w:val="auto"/>
    <w:pitch w:val="default"/>
    <w:sig w:usb0="00000203" w:usb1="21D12C10" w:usb2="00000010" w:usb3="00000000" w:csb0="00280005" w:csb1="00000000"/>
  </w:font>
  <w:font w:name="Apple Color Emoji">
    <w:panose1 w:val="00000000000000000000"/>
    <w:charset w:val="00"/>
    <w:family w:val="auto"/>
    <w:pitch w:val="default"/>
    <w:sig w:usb0="00000003" w:usb1="18000000" w:usb2="14000000" w:usb3="00000000" w:csb0="0000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Kingsoft Confetti">
    <w:panose1 w:val="05000000000000000000"/>
    <w:charset w:val="00"/>
    <w:family w:val="auto"/>
    <w:pitch w:val="default"/>
    <w:sig w:usb0="00000000" w:usb1="10000000" w:usb2="00000000" w:usb3="00000000" w:csb0="00000001" w:csb1="00000000"/>
  </w:font>
  <w:font w:name="微软雅黑">
    <w:altName w:val="汉仪旗黑"/>
    <w:panose1 w:val="020B0703020204020201"/>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08EEA33D">
        <w:pPr>
          <w:pStyle w:val="7"/>
          <w:jc w:val="center"/>
        </w:pPr>
        <w:r>
          <w:rPr>
            <w:lang w:val="zh-CN"/>
          </w:rPr>
          <w:fldChar w:fldCharType="begin"/>
        </w:r>
        <w:r>
          <w:rPr>
            <w:lang w:val="zh-CN"/>
          </w:rPr>
          <w:instrText xml:space="preserve">PAGE   \* MERGEFORMAT</w:instrText>
        </w:r>
        <w:r>
          <w:rPr>
            <w:lang w:val="zh-CN"/>
          </w:rPr>
          <w:fldChar w:fldCharType="separate"/>
        </w:r>
        <w:r>
          <w:rPr>
            <w:lang w:val="zh-CN"/>
          </w:rPr>
          <w:t>13</w:t>
        </w:r>
        <w:r>
          <w:rPr>
            <w:lang w:val="zh-CN"/>
          </w:rPr>
          <w:fldChar w:fldCharType="end"/>
        </w:r>
      </w:p>
    </w:sdtContent>
  </w:sdt>
  <w:p w14:paraId="45F90246">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66D787"/>
    <w:multiLevelType w:val="singleLevel"/>
    <w:tmpl w:val="9E66D787"/>
    <w:lvl w:ilvl="0" w:tentative="0">
      <w:start w:val="1"/>
      <w:numFmt w:val="decimal"/>
      <w:suff w:val="space"/>
      <w:lvlText w:val="%1)"/>
      <w:lvlJc w:val="left"/>
    </w:lvl>
  </w:abstractNum>
  <w:abstractNum w:abstractNumId="1">
    <w:nsid w:val="D9F5F2FA"/>
    <w:multiLevelType w:val="singleLevel"/>
    <w:tmpl w:val="D9F5F2FA"/>
    <w:lvl w:ilvl="0" w:tentative="0">
      <w:start w:val="1"/>
      <w:numFmt w:val="decimal"/>
      <w:suff w:val="nothing"/>
      <w:lvlText w:val="%1）"/>
      <w:lvlJc w:val="left"/>
    </w:lvl>
  </w:abstractNum>
  <w:abstractNum w:abstractNumId="2">
    <w:nsid w:val="2D5E3876"/>
    <w:multiLevelType w:val="singleLevel"/>
    <w:tmpl w:val="2D5E3876"/>
    <w:lvl w:ilvl="0" w:tentative="0">
      <w:start w:val="1"/>
      <w:numFmt w:val="decimal"/>
      <w:suff w:val="nothing"/>
      <w:lvlText w:val="（%1）"/>
      <w:lvlJc w:val="left"/>
    </w:lvl>
  </w:abstractNum>
  <w:abstractNum w:abstractNumId="3">
    <w:nsid w:val="386B2DC6"/>
    <w:multiLevelType w:val="multilevel"/>
    <w:tmpl w:val="386B2DC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55AFB80"/>
    <w:multiLevelType w:val="singleLevel"/>
    <w:tmpl w:val="555AFB80"/>
    <w:lvl w:ilvl="0" w:tentative="0">
      <w:start w:val="2"/>
      <w:numFmt w:val="decimal"/>
      <w:suff w:val="nothing"/>
      <w:lvlText w:val="%1、"/>
      <w:lvlJc w:val="left"/>
      <w:pPr>
        <w:tabs>
          <w:tab w:val="left" w:pos="0"/>
        </w:tabs>
        <w:ind w:left="0" w:firstLine="0"/>
      </w:pPr>
    </w:lvl>
  </w:abstractNum>
  <w:abstractNum w:abstractNumId="5">
    <w:nsid w:val="58EF03BC"/>
    <w:multiLevelType w:val="multilevel"/>
    <w:tmpl w:val="58EF03B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B8D2543"/>
    <w:multiLevelType w:val="multilevel"/>
    <w:tmpl w:val="7B8D254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5"/>
  </w:num>
  <w:num w:numId="3">
    <w:abstractNumId w:val="1"/>
  </w:num>
  <w:num w:numId="4">
    <w:abstractNumId w:val="3"/>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B614B"/>
    <w:rsid w:val="00166653"/>
    <w:rsid w:val="00207E16"/>
    <w:rsid w:val="003415BC"/>
    <w:rsid w:val="004E42ED"/>
    <w:rsid w:val="004E52B2"/>
    <w:rsid w:val="007B6470"/>
    <w:rsid w:val="00814D9F"/>
    <w:rsid w:val="00830699"/>
    <w:rsid w:val="00996B34"/>
    <w:rsid w:val="00A96D81"/>
    <w:rsid w:val="00CD117E"/>
    <w:rsid w:val="00D536B3"/>
    <w:rsid w:val="00ED14DD"/>
    <w:rsid w:val="148B614B"/>
    <w:rsid w:val="27B3294D"/>
    <w:rsid w:val="39810D86"/>
    <w:rsid w:val="3D3F174E"/>
    <w:rsid w:val="406D48B0"/>
    <w:rsid w:val="450456CC"/>
    <w:rsid w:val="52A309AB"/>
    <w:rsid w:val="5CFDD7EE"/>
    <w:rsid w:val="60C70EC5"/>
    <w:rsid w:val="73D4C1CB"/>
    <w:rsid w:val="76BE285E"/>
    <w:rsid w:val="7C136A7E"/>
    <w:rsid w:val="7DAD0620"/>
    <w:rsid w:val="7DBFD97C"/>
    <w:rsid w:val="7EB76591"/>
    <w:rsid w:val="7EF7B57C"/>
    <w:rsid w:val="ADF74FF6"/>
    <w:rsid w:val="BDD60D24"/>
    <w:rsid w:val="BEFEB3CE"/>
    <w:rsid w:val="CFFD7EE4"/>
    <w:rsid w:val="D6BFA2DD"/>
    <w:rsid w:val="DDBFF102"/>
    <w:rsid w:val="DE9FB3F0"/>
    <w:rsid w:val="EFDD76DA"/>
    <w:rsid w:val="F3FF22B8"/>
    <w:rsid w:val="FBDE16A0"/>
    <w:rsid w:val="FF5F4B87"/>
    <w:rsid w:val="FF7E6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qFormat/>
    <w:uiPriority w:val="1"/>
    <w:pPr>
      <w:ind w:left="141"/>
      <w:jc w:val="left"/>
    </w:pPr>
    <w:rPr>
      <w:rFonts w:ascii="宋体" w:hAnsi="宋体"/>
      <w:kern w:val="0"/>
      <w:sz w:val="24"/>
      <w:szCs w:val="24"/>
      <w:lang w:eastAsia="en-US"/>
    </w:rPr>
  </w:style>
  <w:style w:type="paragraph" w:styleId="5">
    <w:name w:val="Plain Text"/>
    <w:basedOn w:val="1"/>
    <w:qFormat/>
    <w:uiPriority w:val="0"/>
    <w:rPr>
      <w:rFonts w:ascii="宋体" w:hAnsi="Courier New"/>
      <w:szCs w:val="20"/>
    </w:rPr>
  </w:style>
  <w:style w:type="paragraph" w:styleId="6">
    <w:name w:val="Body Text Indent 2"/>
    <w:basedOn w:val="1"/>
    <w:qFormat/>
    <w:uiPriority w:val="0"/>
    <w:pPr>
      <w:spacing w:line="360" w:lineRule="auto"/>
      <w:ind w:firstLine="200" w:firstLineChars="200"/>
    </w:pPr>
    <w:rPr>
      <w:rFonts w:eastAsia="仿宋_GB2312"/>
      <w:sz w:val="24"/>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Normal (Web)"/>
    <w:basedOn w:val="1"/>
    <w:qFormat/>
    <w:uiPriority w:val="0"/>
    <w:pPr>
      <w:spacing w:beforeAutospacing="1" w:afterAutospacing="1"/>
      <w:jc w:val="left"/>
    </w:pPr>
    <w:rPr>
      <w:kern w:val="0"/>
      <w:sz w:val="24"/>
    </w:rPr>
  </w:style>
  <w:style w:type="paragraph" w:styleId="9">
    <w:name w:val="annotation subject"/>
    <w:basedOn w:val="3"/>
    <w:next w:val="3"/>
    <w:semiHidden/>
    <w:unhideWhenUsed/>
    <w:qFormat/>
    <w:uiPriority w:val="99"/>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annotation reference"/>
    <w:basedOn w:val="12"/>
    <w:semiHidden/>
    <w:unhideWhenUsed/>
    <w:qFormat/>
    <w:uiPriority w:val="99"/>
    <w:rPr>
      <w:sz w:val="21"/>
      <w:szCs w:val="21"/>
    </w:rPr>
  </w:style>
  <w:style w:type="paragraph" w:styleId="15">
    <w:name w:val="List Paragraph"/>
    <w:basedOn w:val="1"/>
    <w:qFormat/>
    <w:uiPriority w:val="34"/>
    <w:pPr>
      <w:ind w:firstLine="420" w:firstLineChars="200"/>
    </w:pPr>
  </w:style>
  <w:style w:type="paragraph" w:customStyle="1" w:styleId="16">
    <w:name w:val="Table Paragraph"/>
    <w:basedOn w:val="1"/>
    <w:qFormat/>
    <w:uiPriority w:val="1"/>
    <w:pPr>
      <w:jc w:val="left"/>
    </w:pPr>
    <w:rPr>
      <w:rFonts w:eastAsia="Calibri"/>
      <w:kern w:val="0"/>
      <w:sz w:val="2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580</Words>
  <Characters>626</Characters>
  <Lines>28</Lines>
  <Paragraphs>7</Paragraphs>
  <TotalTime>0</TotalTime>
  <ScaleCrop>false</ScaleCrop>
  <LinksUpToDate>false</LinksUpToDate>
  <CharactersWithSpaces>636</CharactersWithSpaces>
  <Application>WPS Office_12.1.25322.25322_F1E327BC-269C-435d-A152-05C5408002CA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2025-09-05T08:29:00Z</dcterms:created>
  <dc:creator>凯凯啊</dc:creator>
  <cp:lastModifiedBy>凯凯啊</cp:lastModifiedBy>
  <dcterms:modified xsi:type="dcterms:W3CDTF">2026-10-08T14:10:27Z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2052-12.1.25322.25322</vt:lpwstr>
  </property>
  <property fmtid="{D5CDD505-2E9C-101B-9397-08002B2CF9AE}" pid="3" name="ICV">
    <vt:lpwstr>AC3957A35ED646B2A60862A715E639D1_13</vt:lpwstr>
  </property>
  <property fmtid="{D5CDD505-2E9C-101B-9397-08002B2CF9AE}" pid="4" name="KSOTemplateDocerSaveRecord">
    <vt:lpwstr>eyJoZGlkIjoiMzA0MjA5OTZkNzllZWQ4YTUyN2QwZDk3N2ZiMmRjNjAiLCJ1c2VySWQiOiIxNzUzNDQ5OTIyIn0=</vt:lpwstr>
  </property>
</Properties>
</file>