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8CFD1">
      <w:pPr>
        <w:pStyle w:val="7"/>
        <w:widowControl/>
        <w:spacing w:after="120" w:line="360" w:lineRule="auto"/>
        <w:jc w:val="center"/>
        <w:rPr>
          <w:rFonts w:ascii="微软雅黑" w:hAnsi="微软雅黑" w:eastAsia="微软雅黑" w:cs="微软雅黑"/>
          <w:b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sz w:val="36"/>
          <w:szCs w:val="36"/>
        </w:rPr>
        <w:t>上海外国语大学松江、虹口两校区</w:t>
      </w:r>
    </w:p>
    <w:p w14:paraId="5E595433">
      <w:pPr>
        <w:pStyle w:val="7"/>
        <w:widowControl/>
        <w:spacing w:after="120" w:line="360" w:lineRule="auto"/>
        <w:jc w:val="center"/>
        <w:rPr>
          <w:rFonts w:ascii="微软雅黑" w:hAnsi="微软雅黑" w:eastAsia="微软雅黑" w:cs="微软雅黑"/>
          <w:b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sz w:val="36"/>
          <w:szCs w:val="36"/>
        </w:rPr>
        <w:t>自营食堂设备更新采购项目比选需求文件</w:t>
      </w:r>
    </w:p>
    <w:p w14:paraId="60068799">
      <w:pPr>
        <w:pStyle w:val="7"/>
        <w:widowControl/>
        <w:spacing w:after="120" w:line="360" w:lineRule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一、项目预算</w:t>
      </w:r>
    </w:p>
    <w:p w14:paraId="4AA57ACF">
      <w:pPr>
        <w:pStyle w:val="7"/>
        <w:widowControl/>
        <w:spacing w:after="120" w:line="360" w:lineRule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本项目预算：人民币¥66,000.00（大写陆万陆仟元整），包含设备费、运输费、安装调试费、税费、售后服务费等完成本项目所需的一切费用。供应商报价不得超过项目预算，否则视为无效响应。</w:t>
      </w:r>
    </w:p>
    <w:p w14:paraId="2400091D">
      <w:pPr>
        <w:pStyle w:val="7"/>
        <w:widowControl/>
        <w:spacing w:after="120" w:line="360" w:lineRule="auto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二、</w:t>
      </w:r>
      <w:r>
        <w:rPr>
          <w:rFonts w:hint="eastAsia" w:ascii="仿宋" w:hAnsi="仿宋" w:eastAsia="仿宋" w:cs="仿宋"/>
          <w:b/>
          <w:sz w:val="28"/>
          <w:szCs w:val="28"/>
        </w:rPr>
        <w:t>设备清单及</w:t>
      </w:r>
      <w:commentRangeStart w:id="0"/>
      <w:commentRangeStart w:id="1"/>
      <w:r>
        <w:rPr>
          <w:rFonts w:hint="eastAsia" w:ascii="仿宋" w:hAnsi="仿宋" w:eastAsia="仿宋" w:cs="仿宋"/>
          <w:b/>
          <w:sz w:val="28"/>
          <w:szCs w:val="28"/>
        </w:rPr>
        <w:t>参数</w:t>
      </w:r>
      <w:commentRangeEnd w:id="0"/>
      <w:r>
        <w:rPr>
          <w:rStyle w:val="11"/>
        </w:rPr>
        <w:commentReference w:id="0"/>
      </w:r>
      <w:commentRangeEnd w:id="1"/>
      <w:r>
        <w:commentReference w:id="1"/>
      </w:r>
    </w:p>
    <w:p w14:paraId="306A562F">
      <w:pPr>
        <w:pStyle w:val="7"/>
        <w:widowControl/>
        <w:spacing w:after="120" w:line="360" w:lineRule="auto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（一）松江校区设备清单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450"/>
        <w:gridCol w:w="800"/>
        <w:gridCol w:w="4167"/>
        <w:gridCol w:w="1347"/>
      </w:tblGrid>
      <w:tr w14:paraId="75C6C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7908D6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序号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54E9B0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设备名称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95C6CD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数量</w:t>
            </w:r>
          </w:p>
        </w:tc>
        <w:tc>
          <w:tcPr>
            <w:tcW w:w="4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F8735A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核心参数与技术规格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6E051B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存放地点</w:t>
            </w:r>
          </w:p>
        </w:tc>
      </w:tr>
      <w:tr w14:paraId="32436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A40A15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color w:val="0F1115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hd w:val="clear" w:color="auto" w:fill="FFFFFF"/>
              </w:rPr>
              <w:t>1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23B540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color w:val="0F1115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hd w:val="clear" w:color="auto" w:fill="FFFFFF"/>
              </w:rPr>
              <w:t>节能双眼大锅灶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ED281F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1台</w:t>
            </w:r>
          </w:p>
        </w:tc>
        <w:tc>
          <w:tcPr>
            <w:tcW w:w="4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7291F3A">
            <w:pPr>
              <w:pStyle w:val="7"/>
              <w:widowControl/>
              <w:spacing w:after="120" w:line="360" w:lineRule="auto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1. 规格尺寸：约2200×1200×800/400mm（±50mm）。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2. 材质：炉面1.5mm SUS304不锈钢，侧板及背板1.0mm；骨架采用40×40×4mm国标镀锌角钢。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3. 炉头系统：环保节能炉头，热效率≥55%，配备熄火保护及离子火焰监控，高压脉冲电子点火。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4. 风机：节能型一体式风机，一键式启停。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5. 配件：配Φ51mm可调重力脚，摇摆龙头，20mm隔热棉。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9FD88C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食堂一楼  A区厨房间</w:t>
            </w:r>
          </w:p>
        </w:tc>
      </w:tr>
      <w:tr w14:paraId="4E43E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E3ADA3C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color w:val="0F1115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hd w:val="clear" w:color="auto" w:fill="FFFFFF"/>
              </w:rPr>
              <w:t>2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D30FB5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color w:val="0F1115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hd w:val="clear" w:color="auto" w:fill="FFFFFF"/>
              </w:rPr>
              <w:t>六门双温 冰箱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0E5969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1台</w:t>
            </w:r>
          </w:p>
        </w:tc>
        <w:tc>
          <w:tcPr>
            <w:tcW w:w="4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F88F600">
            <w:pPr>
              <w:pStyle w:val="7"/>
              <w:widowControl/>
              <w:spacing w:after="120" w:line="360" w:lineRule="auto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1. 规格尺寸：约1800×800×1960mm（±50mm）。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2. 容积与温控：净容积≥1500L，温度范围：-22℃～-12℃（冷冻）/0℃～+8℃（冷藏）；电子数显温控。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3. 核心部件：采用国际知名品牌压缩机及风机；全铜管制冷系统；R290环保制冷剂。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4. 结构与配置：内外SUS304不锈钢箱体；环戊烷整体发泡保温；3层可调搁架；自动回归门体，门框带电加热丝，磁吸密封条。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5. 移动性：底部配重型万向轮。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4522435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食堂三楼  B厅</w:t>
            </w:r>
          </w:p>
        </w:tc>
      </w:tr>
    </w:tbl>
    <w:p w14:paraId="1DF4C055">
      <w:pPr>
        <w:pStyle w:val="7"/>
        <w:widowControl/>
        <w:spacing w:after="120" w:line="360" w:lineRule="auto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（二）虹口校区设备清单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361"/>
        <w:gridCol w:w="800"/>
        <w:gridCol w:w="4150"/>
        <w:gridCol w:w="1375"/>
      </w:tblGrid>
      <w:tr w14:paraId="38891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8335AC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序号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1AEFB8D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设备名称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F51190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数量</w:t>
            </w:r>
          </w:p>
        </w:tc>
        <w:tc>
          <w:tcPr>
            <w:tcW w:w="4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AF83C5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核心参数与技术规格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5F2131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存放地点</w:t>
            </w:r>
          </w:p>
        </w:tc>
      </w:tr>
      <w:tr w14:paraId="5B7A4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EFABBD6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050331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燃气双眼大锅灶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5851C7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1台</w:t>
            </w:r>
          </w:p>
        </w:tc>
        <w:tc>
          <w:tcPr>
            <w:tcW w:w="4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A463D8B">
            <w:pPr>
              <w:pStyle w:val="7"/>
              <w:widowControl/>
              <w:spacing w:after="120" w:line="360" w:lineRule="auto"/>
              <w:rPr>
                <w:rFonts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1. 规格尺寸：2200×1200×800mm（长度浮动≤10%）。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2. 性能：单个灶头热负荷≥50kW，热效率≥70%。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3. 安全：离子感应熄火保护（4秒内切断气源），双重防火门，炉膛防爆通风口，燃气管路采用全铜专用管。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4. 配置：高压脉冲电子点火，标配水龙头及大炒锅，风机功率≥120W/220V。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5.</w:t>
            </w:r>
            <w:commentRangeStart w:id="2"/>
            <w:commentRangeStart w:id="3"/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F1115"/>
                <w:sz w:val="22"/>
                <w:szCs w:val="22"/>
                <w:shd w:val="clear" w:color="auto" w:fill="FFFFFF"/>
              </w:rPr>
              <w:t>▲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认证：整机具备CCC认证。</w:t>
            </w:r>
            <w:commentRangeEnd w:id="2"/>
            <w:r>
              <w:rPr>
                <w:rStyle w:val="11"/>
              </w:rPr>
              <w:commentReference w:id="2"/>
            </w:r>
            <w:commentRangeEnd w:id="3"/>
            <w:r>
              <w:commentReference w:id="3"/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B4003E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教工食堂  一楼</w:t>
            </w:r>
          </w:p>
        </w:tc>
      </w:tr>
      <w:tr w14:paraId="230E3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5DD5A4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D9F8C1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燃气双炒双尾节能炒灶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C28C77A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1台</w:t>
            </w:r>
          </w:p>
        </w:tc>
        <w:tc>
          <w:tcPr>
            <w:tcW w:w="4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379521C">
            <w:pPr>
              <w:pStyle w:val="7"/>
              <w:widowControl/>
              <w:spacing w:after="120" w:line="360" w:lineRule="auto"/>
              <w:rPr>
                <w:rFonts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1. 规格尺寸：2200×1200×800mm（长度浮动≤10%）。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2. 性能：单个灶头热负荷≥45kW，热效率≥55%。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3. 炉头：全预混铸铁聚能炉头（耐高温、遇水不开裂）。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4. 安全与配置：同上述“燃气双眼大锅灶”第3、4款要求；风机功率≥250W/220V；标配铸铁加厚炒锅。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5. ▲</w:t>
            </w:r>
            <w:commentRangeStart w:id="4"/>
            <w:commentRangeStart w:id="5"/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认证：整机具备CCC认证。</w:t>
            </w:r>
            <w:commentRangeEnd w:id="4"/>
            <w:r>
              <w:rPr>
                <w:rStyle w:val="11"/>
              </w:rPr>
              <w:commentReference w:id="4"/>
            </w:r>
            <w:commentRangeEnd w:id="5"/>
            <w:r>
              <w:commentReference w:id="5"/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4FDE41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教工食堂  一楼</w:t>
            </w:r>
          </w:p>
        </w:tc>
      </w:tr>
      <w:tr w14:paraId="575C9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024C33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3237F7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六门双温  冰箱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99C6E3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1台</w:t>
            </w:r>
          </w:p>
        </w:tc>
        <w:tc>
          <w:tcPr>
            <w:tcW w:w="4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D6FC93C">
            <w:pPr>
              <w:pStyle w:val="7"/>
              <w:widowControl/>
              <w:spacing w:after="120" w:line="360" w:lineRule="auto"/>
              <w:rPr>
                <w:rFonts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1. 规格尺寸：约1800×800×1960mm（±50mm）。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2. 容积与温控：净容积≥1500L，温度范围：-22℃～-12℃/0℃～+8℃；电子数显温控。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3. 核心部件：采用国际知名品牌压缩机及风机；全铜管制冷系统；R290环保制冷剂。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4. 结构与配置：同松江校区“六门双温冰箱”第4款要求。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487C350">
            <w:pPr>
              <w:pStyle w:val="7"/>
              <w:widowControl/>
              <w:spacing w:after="120" w:line="360" w:lineRule="auto"/>
              <w:jc w:val="center"/>
              <w:rPr>
                <w:rFonts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shd w:val="clear" w:color="auto" w:fill="FFFFFF"/>
              </w:rPr>
              <w:t>教工食堂  一楼</w:t>
            </w:r>
          </w:p>
        </w:tc>
      </w:tr>
    </w:tbl>
    <w:p w14:paraId="7CE55461">
      <w:pPr>
        <w:pStyle w:val="7"/>
        <w:widowControl/>
        <w:spacing w:after="120" w:line="360" w:lineRule="auto"/>
        <w:rPr>
          <w:rFonts w:hint="eastAsia" w:ascii="仿宋" w:hAnsi="仿宋" w:eastAsia="仿宋" w:cs="仿宋"/>
          <w:color w:val="0F1115"/>
          <w:sz w:val="22"/>
          <w:szCs w:val="2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F1115"/>
          <w:sz w:val="22"/>
          <w:szCs w:val="22"/>
          <w:shd w:val="clear" w:color="auto" w:fill="FFFFFF"/>
          <w:lang w:eastAsia="zh-CN"/>
        </w:rPr>
        <w:t>备注：▲为废标项，没有3C认证将一票否决。</w:t>
      </w:r>
    </w:p>
    <w:p w14:paraId="160A50D0">
      <w:pPr>
        <w:pStyle w:val="7"/>
        <w:widowControl/>
        <w:spacing w:after="120" w:line="360" w:lineRule="auto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</w:rPr>
        <w:t>、维保服务要求</w:t>
      </w:r>
    </w:p>
    <w:p w14:paraId="24CAFE40">
      <w:pPr>
        <w:pStyle w:val="7"/>
        <w:widowControl/>
        <w:numPr>
          <w:ilvl w:val="0"/>
          <w:numId w:val="2"/>
        </w:numPr>
        <w:spacing w:after="120" w:line="360" w:lineRule="auto"/>
        <w:rPr>
          <w:rFonts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质保期：供应商须提供不少于3年的免费质保期（自验收合格之日起计算），质保期内因设备质量问题造成的故障和零部件损坏，供应商应无条件免费维修或更换。</w:t>
      </w:r>
    </w:p>
    <w:p w14:paraId="1A88AA0E">
      <w:pPr>
        <w:pStyle w:val="7"/>
        <w:widowControl/>
        <w:numPr>
          <w:ilvl w:val="0"/>
          <w:numId w:val="2"/>
        </w:numPr>
        <w:spacing w:after="120" w:line="360" w:lineRule="auto"/>
        <w:rPr>
          <w:rFonts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售后服务响应：设备出现故障，供应商须在2小时内予以响应；如需现场处理，应在24小时内派员到达现场，48小时内排除故障。</w:t>
      </w:r>
    </w:p>
    <w:p w14:paraId="07F09589">
      <w:pPr>
        <w:pStyle w:val="7"/>
        <w:widowControl/>
        <w:numPr>
          <w:ilvl w:val="0"/>
          <w:numId w:val="2"/>
        </w:numPr>
        <w:spacing w:after="120" w:line="360" w:lineRule="auto"/>
        <w:rPr>
          <w:rFonts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技术培训：供应商须无偿向采购人提供设备操作及日常维护培训。</w:t>
      </w:r>
    </w:p>
    <w:p w14:paraId="33A54FF5">
      <w:pPr>
        <w:pStyle w:val="7"/>
        <w:widowControl/>
        <w:numPr>
          <w:ilvl w:val="0"/>
          <w:numId w:val="2"/>
        </w:numPr>
        <w:spacing w:after="120" w:line="360" w:lineRule="auto"/>
        <w:rPr>
          <w:rFonts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备件保障：质保期满后，供应商应长期以优惠价格提供设备维修所需零配件及易损件。</w:t>
      </w:r>
    </w:p>
    <w:p w14:paraId="67F943C4">
      <w:pPr>
        <w:pStyle w:val="7"/>
        <w:widowControl/>
        <w:numPr>
          <w:ilvl w:val="0"/>
          <w:numId w:val="2"/>
        </w:numPr>
        <w:spacing w:after="120" w:line="360" w:lineRule="auto"/>
        <w:rPr>
          <w:rFonts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定期巡检：质保期内，供应商应每半年至少进行一次免费巡检维护。</w:t>
      </w:r>
    </w:p>
    <w:p w14:paraId="60A9A745">
      <w:pPr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三、评审办法</w:t>
      </w:r>
    </w:p>
    <w:p w14:paraId="6782DF93">
      <w:pPr>
        <w:pStyle w:val="2"/>
        <w:numPr>
          <w:ilvl w:val="1"/>
          <w:numId w:val="0"/>
        </w:numPr>
        <w:rPr>
          <w:rFonts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比选评分组成为价格分40分，技术分30分，商务部分30分。学校对收到合格的报名材料和响应文件组织评审，根据评审结果，将把合同授予得分最高的响应单位。</w:t>
      </w:r>
    </w:p>
    <w:p w14:paraId="22C7FE9E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本项目采用综合评分法，总分100分，具体分配如下：</w:t>
      </w:r>
    </w:p>
    <w:tbl>
      <w:tblPr>
        <w:tblStyle w:val="9"/>
        <w:tblW w:w="91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750"/>
        <w:gridCol w:w="463"/>
        <w:gridCol w:w="7269"/>
      </w:tblGrid>
      <w:tr w14:paraId="370E3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6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D7FC2AC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序号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95C2111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评审因素</w:t>
            </w:r>
          </w:p>
        </w:tc>
        <w:tc>
          <w:tcPr>
            <w:tcW w:w="4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E6D6843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满分</w:t>
            </w:r>
          </w:p>
        </w:tc>
        <w:tc>
          <w:tcPr>
            <w:tcW w:w="7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6459913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评分标准（满足得满分，不满足得0分，除非另有说明）</w:t>
            </w:r>
          </w:p>
        </w:tc>
      </w:tr>
      <w:tr w14:paraId="0774D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6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6D538DF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1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CF3A4CB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价格部分</w:t>
            </w:r>
          </w:p>
        </w:tc>
        <w:tc>
          <w:tcPr>
            <w:tcW w:w="4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A05DB29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40</w:t>
            </w:r>
          </w:p>
        </w:tc>
        <w:tc>
          <w:tcPr>
            <w:tcW w:w="7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DB57E72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（基准价法）</w:t>
            </w:r>
          </w:p>
          <w:p w14:paraId="5A2F093A">
            <w:pPr>
              <w:jc w:val="left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投标报价等于评审基准价时得满分40分。</w:t>
            </w:r>
          </w:p>
          <w:p w14:paraId="0D35608D">
            <w:pPr>
              <w:jc w:val="left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投标报价每高于评审基准价1%，扣1分；每低于评审基准价1%，扣 0.5分”</w:t>
            </w:r>
          </w:p>
          <w:p w14:paraId="2D70F24F">
            <w:pPr>
              <w:jc w:val="left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满足比选文件实质性要求且报价不高于最高限价的为有效报价。</w:t>
            </w:r>
          </w:p>
          <w:p w14:paraId="529DB6A6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取所有有效报价的算术平均值作为评审基准价；</w:t>
            </w:r>
          </w:p>
        </w:tc>
      </w:tr>
      <w:tr w14:paraId="4EF89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9698B8B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2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11B2ED5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技术部分</w:t>
            </w:r>
          </w:p>
        </w:tc>
        <w:tc>
          <w:tcPr>
            <w:tcW w:w="4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AE08B55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30</w:t>
            </w:r>
          </w:p>
        </w:tc>
        <w:tc>
          <w:tcPr>
            <w:tcW w:w="7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34DE936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</w:tr>
      <w:tr w14:paraId="61E47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6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112BF4A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2.1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7414FC0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资质授权</w:t>
            </w:r>
          </w:p>
        </w:tc>
        <w:tc>
          <w:tcPr>
            <w:tcW w:w="4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F9D58BB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4</w:t>
            </w:r>
          </w:p>
        </w:tc>
        <w:tc>
          <w:tcPr>
            <w:tcW w:w="7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261F1EC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1.具备ISO三体系认证（质量、环境、职业健康）得2分；</w:t>
            </w:r>
          </w:p>
          <w:p w14:paraId="728ACB77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2.提供拟投灶具、冰箱品牌</w:t>
            </w:r>
            <w:commentRangeStart w:id="6"/>
            <w:commentRangeStart w:id="7"/>
            <w:r>
              <w:rPr>
                <w:rFonts w:hint="eastAsia" w:ascii="仿宋" w:hAnsi="仿宋" w:eastAsia="仿宋" w:cs="仿宋"/>
                <w:color w:val="000000"/>
                <w:sz w:val="22"/>
              </w:rPr>
              <w:t>厂家</w:t>
            </w:r>
            <w:commentRangeEnd w:id="6"/>
            <w:r>
              <w:rPr>
                <w:rFonts w:hint="eastAsia" w:ascii="仿宋" w:hAnsi="仿宋" w:eastAsia="仿宋" w:cs="仿宋"/>
                <w:color w:val="000000"/>
                <w:sz w:val="22"/>
              </w:rPr>
              <w:commentReference w:id="6"/>
            </w:r>
            <w:commentRangeEnd w:id="7"/>
            <w:r>
              <w:commentReference w:id="7"/>
            </w: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（制造生产厂家）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>针对本项目的授权书得2分。</w:t>
            </w:r>
          </w:p>
          <w:p w14:paraId="51AC812D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（无证明不得分）</w:t>
            </w:r>
            <w:bookmarkStart w:id="0" w:name="_GoBack"/>
            <w:bookmarkEnd w:id="0"/>
          </w:p>
        </w:tc>
      </w:tr>
      <w:tr w14:paraId="68D38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6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5117CDF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2.2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AF02970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参数响应</w:t>
            </w:r>
          </w:p>
        </w:tc>
        <w:tc>
          <w:tcPr>
            <w:tcW w:w="4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A7290E4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20</w:t>
            </w:r>
          </w:p>
        </w:tc>
        <w:tc>
          <w:tcPr>
            <w:tcW w:w="7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82D678D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1.基础分（15分）：逐条响应技术参数，全部满足得15分；出现1项负偏离（如热效率不达标、无熄火保护等），按无效响应处理。</w:t>
            </w:r>
          </w:p>
          <w:p w14:paraId="70EA5533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2.加分项（5分）：在技术参数表中明确标注“正偏离”并提供检测报告佐证的，每项加1分，最多加5分。</w:t>
            </w:r>
          </w:p>
        </w:tc>
      </w:tr>
      <w:tr w14:paraId="4557F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6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5456E1D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2.3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39E1C2A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安装方案</w:t>
            </w:r>
          </w:p>
        </w:tc>
        <w:tc>
          <w:tcPr>
            <w:tcW w:w="4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3AB31A2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3</w:t>
            </w:r>
          </w:p>
        </w:tc>
        <w:tc>
          <w:tcPr>
            <w:tcW w:w="7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99BB412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方案必须包含：①施工进度表（总工期≤15天）；②燃气管道试压方案；③现场安全防护措施。缺一项扣1分，扣完为止。</w:t>
            </w:r>
          </w:p>
        </w:tc>
      </w:tr>
      <w:tr w14:paraId="6CCCD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6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A48C3ED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2.4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4913C21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应急预案</w:t>
            </w:r>
          </w:p>
        </w:tc>
        <w:tc>
          <w:tcPr>
            <w:tcW w:w="4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2BCA072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3</w:t>
            </w:r>
          </w:p>
        </w:tc>
        <w:tc>
          <w:tcPr>
            <w:tcW w:w="7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96402D0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预案包含“燃气泄漏”和“火灾”两类场景的处置流程，且留有24小时应急电话的得3分，缺一项不得分。</w:t>
            </w:r>
          </w:p>
        </w:tc>
      </w:tr>
      <w:tr w14:paraId="1F9A0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97DDA10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3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C234E49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商务部分</w:t>
            </w:r>
          </w:p>
        </w:tc>
        <w:tc>
          <w:tcPr>
            <w:tcW w:w="4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17F2262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30</w:t>
            </w:r>
          </w:p>
        </w:tc>
        <w:tc>
          <w:tcPr>
            <w:tcW w:w="7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556D799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</w:tr>
      <w:tr w14:paraId="4ECC0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6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3D132DE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3.1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B9974C5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质保期</w:t>
            </w:r>
          </w:p>
        </w:tc>
        <w:tc>
          <w:tcPr>
            <w:tcW w:w="4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92188CE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6</w:t>
            </w:r>
          </w:p>
        </w:tc>
        <w:tc>
          <w:tcPr>
            <w:tcW w:w="7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689F524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1.承诺免费质保期≥3年得3分；</w:t>
            </w:r>
          </w:p>
          <w:p w14:paraId="558E49A8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2.每增加1年加1分，最高加3分（即6年及以上得满分）。</w:t>
            </w:r>
          </w:p>
          <w:p w14:paraId="4EAC9B3B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（需提供承诺函）</w:t>
            </w:r>
          </w:p>
        </w:tc>
      </w:tr>
      <w:tr w14:paraId="31FA0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6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355CD8E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3.2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DBB6887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售后响应</w:t>
            </w:r>
          </w:p>
        </w:tc>
        <w:tc>
          <w:tcPr>
            <w:tcW w:w="4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9A5AF66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12</w:t>
            </w:r>
          </w:p>
        </w:tc>
        <w:tc>
          <w:tcPr>
            <w:tcW w:w="7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446CA47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承诺同时满足以下三点得12分，不满足一点扣4分：</w:t>
            </w:r>
          </w:p>
          <w:p w14:paraId="7ACAC0AF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1.2小时内电话响应；</w:t>
            </w:r>
          </w:p>
          <w:p w14:paraId="4F4EF0EF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2.24小时内上门；</w:t>
            </w:r>
          </w:p>
          <w:p w14:paraId="227DE84D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3.48小时内修复（特殊情况提供备用机）。</w:t>
            </w:r>
          </w:p>
          <w:p w14:paraId="5345A5E4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（需提供承诺函）</w:t>
            </w:r>
          </w:p>
        </w:tc>
      </w:tr>
      <w:tr w14:paraId="24226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6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FD655D3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3.4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CA756A5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同类业绩</w:t>
            </w:r>
          </w:p>
        </w:tc>
        <w:tc>
          <w:tcPr>
            <w:tcW w:w="4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AB3CD5B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12</w:t>
            </w:r>
          </w:p>
        </w:tc>
        <w:tc>
          <w:tcPr>
            <w:tcW w:w="7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EDA1EF5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提供近三年（2023年至今）高校或事业单位食堂厨房设备供货合同：</w:t>
            </w:r>
          </w:p>
          <w:p w14:paraId="70E2836E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1.高校合同每份得3分；</w:t>
            </w:r>
          </w:p>
          <w:p w14:paraId="3CD8F86A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2.事业单位合同每份得1.5分；</w:t>
            </w:r>
          </w:p>
          <w:p w14:paraId="6ABED23F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3.最高得12分。</w:t>
            </w:r>
          </w:p>
          <w:p w14:paraId="3594AFA0">
            <w:pPr>
              <w:jc w:val="left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（需提供合同复印件，含盖章页）</w:t>
            </w:r>
          </w:p>
        </w:tc>
      </w:tr>
    </w:tbl>
    <w:p w14:paraId="56CF23A9">
      <w:pPr>
        <w:rPr>
          <w:rFonts w:ascii="仿宋" w:hAnsi="仿宋" w:eastAsia="仿宋" w:cs="仿宋"/>
          <w:sz w:val="22"/>
          <w:szCs w:val="22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徐颖健" w:date="2026-07-21T13:51:00Z" w:initials="Z">
    <w:p w14:paraId="56469605">
      <w:pPr>
        <w:pStyle w:val="3"/>
      </w:pPr>
      <w:r>
        <w:rPr>
          <w:rFonts w:hint="eastAsia"/>
        </w:rPr>
        <w:t>还是需要单独标注“预算控制价”</w:t>
      </w:r>
    </w:p>
  </w:comment>
  <w:comment w:id="1" w:author="任裕麒" w:date="2026-07-21T16:15:05Z" w:initials="">
    <w:p w14:paraId="6FA3D82F">
      <w:pPr>
        <w:pStyle w:val="3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已标注</w:t>
      </w:r>
    </w:p>
  </w:comment>
  <w:comment w:id="2" w:author="徐颖健" w:date="2026-07-21T13:56:00Z" w:initials="Z">
    <w:p w14:paraId="6CF6109C">
      <w:pPr>
        <w:pStyle w:val="3"/>
      </w:pPr>
      <w:r>
        <w:rPr>
          <w:rFonts w:hint="eastAsia"/>
        </w:rPr>
        <w:t>这里需要标注五角星  作为废标项，只要没有3C认证一律废标，这个关系到生命安全的强制要求。</w:t>
      </w:r>
    </w:p>
  </w:comment>
  <w:comment w:id="3" w:author="任裕麒" w:date="2026-07-21T16:19:27Z" w:initials="">
    <w:p w14:paraId="40AF3C22">
      <w:pPr>
        <w:pStyle w:val="3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已添加</w:t>
      </w:r>
    </w:p>
  </w:comment>
  <w:comment w:id="4" w:author="徐颖健" w:date="2026-07-21T13:55:00Z" w:initials="Z">
    <w:p w14:paraId="36E825DC">
      <w:pPr>
        <w:pStyle w:val="3"/>
        <w:rPr>
          <w:rFonts w:hint="eastAsia"/>
        </w:rPr>
      </w:pPr>
      <w:r>
        <w:rPr>
          <w:rFonts w:hint="eastAsia"/>
        </w:rPr>
        <w:t xml:space="preserve">这里需要标注五角星 </w:t>
      </w:r>
      <w:r>
        <w:t xml:space="preserve"> </w:t>
      </w:r>
      <w:r>
        <w:rPr>
          <w:rFonts w:hint="eastAsia"/>
        </w:rPr>
        <w:t>作为废标项，只要没有3</w:t>
      </w:r>
      <w:r>
        <w:t>C</w:t>
      </w:r>
      <w:r>
        <w:rPr>
          <w:rFonts w:hint="eastAsia"/>
        </w:rPr>
        <w:t>认证一律废标，这个关系到生命安全的强制要求。</w:t>
      </w:r>
    </w:p>
  </w:comment>
  <w:comment w:id="5" w:author="任裕麒" w:date="2026-07-21T16:19:16Z" w:initials="">
    <w:p w14:paraId="4346E275">
      <w:pPr>
        <w:pStyle w:val="3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已添加</w:t>
      </w:r>
    </w:p>
  </w:comment>
  <w:comment w:id="6" w:author="徐颖健" w:date="2026-07-21T13:56:00Z" w:initials="Z">
    <w:p w14:paraId="03014610">
      <w:pPr>
        <w:pStyle w:val="3"/>
      </w:pPr>
      <w:r>
        <w:rPr>
          <w:rFonts w:hint="eastAsia"/>
        </w:rPr>
        <w:t>制造生产厂家？</w:t>
      </w:r>
    </w:p>
  </w:comment>
  <w:comment w:id="7" w:author="任裕麒" w:date="2026-07-21T16:20:32Z" w:initials="">
    <w:p w14:paraId="11DA1828">
      <w:pPr>
        <w:pStyle w:val="3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）注）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6469605" w15:done="0"/>
  <w15:commentEx w15:paraId="6FA3D82F" w15:done="0" w15:paraIdParent="56469605"/>
  <w15:commentEx w15:paraId="6CF6109C" w15:done="0"/>
  <w15:commentEx w15:paraId="40AF3C22" w15:done="0" w15:paraIdParent="6CF6109C"/>
  <w15:commentEx w15:paraId="36E825DC" w15:done="0"/>
  <w15:commentEx w15:paraId="4346E275" w15:done="0" w15:paraIdParent="36E825DC"/>
  <w15:commentEx w15:paraId="03014610" w15:done="0"/>
  <w15:commentEx w15:paraId="11DA1828" w15:done="0" w15:paraIdParent="0301461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decimal"/>
      <w:lvlText w:val="%1"/>
      <w:lvlJc w:val="left"/>
      <w:rPr>
        <w:rFonts w:hint="eastAsia" w:ascii="黑体" w:hAnsi="Times New Roman" w:eastAsia="黑体"/>
        <w:sz w:val="24"/>
        <w:u w:val="none"/>
      </w:rPr>
    </w:lvl>
    <w:lvl w:ilvl="1" w:tentative="0">
      <w:start w:val="1"/>
      <w:numFmt w:val="decimal"/>
      <w:pStyle w:val="2"/>
      <w:lvlText w:val="%1.%2"/>
      <w:lvlJc w:val="left"/>
      <w:rPr>
        <w:rFonts w:hint="eastAsia" w:ascii="黑体" w:hAnsi="Times New Roman" w:eastAsia="黑体"/>
        <w:color w:val="auto"/>
        <w:sz w:val="24"/>
        <w:u w:val="none"/>
      </w:rPr>
    </w:lvl>
    <w:lvl w:ilvl="2" w:tentative="0">
      <w:start w:val="1"/>
      <w:numFmt w:val="decimal"/>
      <w:lvlText w:val="%1.%2.%3"/>
      <w:lvlJc w:val="left"/>
      <w:rPr>
        <w:rFonts w:hint="eastAsia" w:ascii="黑体" w:hAnsi="Times New Roman" w:eastAsia="黑体"/>
        <w:sz w:val="24"/>
        <w:u w:val="none"/>
      </w:rPr>
    </w:lvl>
    <w:lvl w:ilvl="3" w:tentative="0">
      <w:start w:val="1"/>
      <w:numFmt w:val="decimal"/>
      <w:lvlText w:val="%1.%2.%3.%4"/>
      <w:lvlJc w:val="left"/>
      <w:rPr>
        <w:rFonts w:hint="eastAsia" w:ascii="黑体" w:hAnsi="Times New Roman" w:eastAsia="黑体"/>
        <w:sz w:val="24"/>
        <w:u w:val="none"/>
      </w:rPr>
    </w:lvl>
    <w:lvl w:ilvl="4" w:tentative="0">
      <w:start w:val="1"/>
      <w:numFmt w:val="decimal"/>
      <w:lvlText w:val="%1.%2.%3.%4.%5"/>
      <w:lvlJc w:val="left"/>
      <w:rPr>
        <w:rFonts w:hint="eastAsia" w:ascii="黑体" w:hAnsi="Times New Roman" w:eastAsia="黑体"/>
        <w:sz w:val="24"/>
        <w:u w:val="none"/>
      </w:rPr>
    </w:lvl>
    <w:lvl w:ilvl="5" w:tentative="0">
      <w:start w:val="1"/>
      <w:numFmt w:val="decimal"/>
      <w:lvlText w:val="%1.%2.%3.%4.%5.%6"/>
      <w:lvlJc w:val="left"/>
      <w:rPr>
        <w:rFonts w:hint="eastAsia" w:ascii="黑体" w:hAnsi="Times New Roman" w:eastAsia="黑体"/>
        <w:sz w:val="24"/>
        <w:u w:val="none"/>
      </w:rPr>
    </w:lvl>
    <w:lvl w:ilvl="6" w:tentative="0">
      <w:start w:val="1"/>
      <w:numFmt w:val="decimal"/>
      <w:lvlText w:val="（%7）"/>
      <w:lvlJc w:val="left"/>
      <w:pPr>
        <w:ind w:left="1191" w:firstLine="0"/>
      </w:pPr>
      <w:rPr>
        <w:rFonts w:hint="eastAsia" w:ascii="黑体" w:hAnsi="Times New Roman" w:eastAsia="黑体"/>
        <w:sz w:val="24"/>
        <w:u w:val="none"/>
        <w:lang w:val="en-US"/>
      </w:rPr>
    </w:lvl>
    <w:lvl w:ilvl="7" w:tentative="0">
      <w:start w:val="1"/>
      <w:numFmt w:val="lowerLetter"/>
      <w:lvlText w:val="（%8）"/>
      <w:lvlJc w:val="left"/>
      <w:pPr>
        <w:ind w:left="1888" w:firstLine="0"/>
      </w:pPr>
      <w:rPr>
        <w:rFonts w:hint="eastAsia" w:ascii="黑体" w:hAnsi="Times New Roman" w:eastAsia="黑体"/>
        <w:sz w:val="24"/>
        <w:u w:val="none"/>
      </w:rPr>
    </w:lvl>
    <w:lvl w:ilvl="8" w:tentative="0">
      <w:start w:val="1"/>
      <w:numFmt w:val="lowerRoman"/>
      <w:lvlText w:val="（%9）"/>
      <w:lvlJc w:val="left"/>
      <w:pPr>
        <w:ind w:left="2591" w:firstLine="0"/>
      </w:pPr>
      <w:rPr>
        <w:rFonts w:hint="eastAsia" w:ascii="黑体" w:hAnsi="Times New Roman" w:eastAsia="黑体"/>
        <w:sz w:val="24"/>
        <w:u w:val="none"/>
      </w:rPr>
    </w:lvl>
  </w:abstractNum>
  <w:abstractNum w:abstractNumId="1">
    <w:nsid w:val="10AB4899"/>
    <w:multiLevelType w:val="multilevel"/>
    <w:tmpl w:val="10AB4899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u w:val="none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徐颖健">
    <w15:presenceInfo w15:providerId="None" w15:userId="徐颖健"/>
  </w15:person>
  <w15:person w15:author="任裕麒">
    <w15:presenceInfo w15:providerId="WPS Office" w15:userId="85391888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360D1"/>
    <w:rsid w:val="009E618E"/>
    <w:rsid w:val="00BD2890"/>
    <w:rsid w:val="3B0959D2"/>
    <w:rsid w:val="4A345A25"/>
    <w:rsid w:val="57BA337A"/>
    <w:rsid w:val="5F675D8E"/>
    <w:rsid w:val="70EB7FA7"/>
    <w:rsid w:val="712D77CF"/>
    <w:rsid w:val="7D81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numPr>
        <w:ilvl w:val="1"/>
        <w:numId w:val="1"/>
      </w:numPr>
      <w:adjustRightInd w:val="0"/>
      <w:spacing w:line="360" w:lineRule="atLeast"/>
      <w:textAlignment w:val="baseline"/>
      <w:outlineLvl w:val="1"/>
    </w:pPr>
    <w:rPr>
      <w:kern w:val="0"/>
      <w:sz w:val="24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qFormat/>
    <w:uiPriority w:val="0"/>
    <w:pPr>
      <w:jc w:val="left"/>
    </w:p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rPr>
      <w:sz w:val="24"/>
    </w:rPr>
  </w:style>
  <w:style w:type="paragraph" w:styleId="8">
    <w:name w:val="annotation subject"/>
    <w:basedOn w:val="3"/>
    <w:next w:val="3"/>
    <w:link w:val="15"/>
    <w:qFormat/>
    <w:uiPriority w:val="0"/>
    <w:rPr>
      <w:b/>
      <w:bCs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页眉 字符"/>
    <w:basedOn w:val="10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脚 字符"/>
    <w:basedOn w:val="10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5">
    <w:name w:val="批注主题 字符"/>
    <w:basedOn w:val="14"/>
    <w:link w:val="8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16">
    <w:name w:val="批注框文本 字符"/>
    <w:basedOn w:val="10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675</Words>
  <Characters>800</Characters>
  <Lines>15</Lines>
  <Paragraphs>4</Paragraphs>
  <TotalTime>67</TotalTime>
  <ScaleCrop>false</ScaleCrop>
  <LinksUpToDate>false</LinksUpToDate>
  <CharactersWithSpaces>823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2026-07-20T02:13:00Z</dcterms:created>
  <dc:creator>任裕麒</dc:creator>
  <cp:lastModifiedBy>xcgzbgs</cp:lastModifiedBy>
  <dcterms:modified xsi:type="dcterms:W3CDTF">2026-07-27T06:44:24Z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113F8E961D3641F9BA99AC68A2C61373_13</vt:lpwstr>
  </property>
  <property fmtid="{D5CDD505-2E9C-101B-9397-08002B2CF9AE}" pid="4" name="KSOTemplateDocerSaveRecord">
    <vt:lpwstr>eyJoZGlkIjoiN2YzNjBkOTgyNWQ1YTMxYzM3MzMwNWFiODNmOWIzYWMiLCJ1c2VySWQiOiIyODIxODQ1NzYifQ==</vt:lpwstr>
  </property>
</Properties>
</file>