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E288F">
      <w:pPr>
        <w:pStyle w:val="3"/>
        <w:widowControl/>
        <w:spacing w:beforeLines="0" w:after="120" w:afterLines="0" w:line="360" w:lineRule="auto"/>
        <w:jc w:val="center"/>
        <w:rPr>
          <w:rFonts w:hint="eastAsia"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上海外国语大学智慧餐饮管理平台</w:t>
      </w:r>
    </w:p>
    <w:p w14:paraId="770E7F0A">
      <w:pPr>
        <w:pStyle w:val="3"/>
        <w:widowControl/>
        <w:spacing w:beforeLines="0" w:after="120" w:afterLines="0" w:line="360" w:lineRule="auto"/>
        <w:jc w:val="center"/>
        <w:rPr>
          <w:rFonts w:hint="eastAsia" w:ascii="仿宋" w:hAnsi="仿宋" w:eastAsia="仿宋" w:cs="仿宋"/>
          <w:b/>
          <w:sz w:val="28"/>
          <w:szCs w:val="28"/>
          <w:highlight w:val="none"/>
        </w:rPr>
      </w:pPr>
      <w:r>
        <w:rPr>
          <w:rFonts w:hint="eastAsia" w:ascii="方正小标宋简体" w:hAnsi="方正小标宋简体" w:eastAsia="方正小标宋简体" w:cs="方正小标宋简体"/>
          <w:b/>
          <w:sz w:val="36"/>
          <w:szCs w:val="36"/>
        </w:rPr>
        <w:t>二期项目比选需求文件</w:t>
      </w:r>
    </w:p>
    <w:p w14:paraId="4EEDE908">
      <w:pPr>
        <w:numPr>
          <w:ilvl w:val="0"/>
          <w:numId w:val="2"/>
        </w:numPr>
        <w:spacing w:beforeLines="0" w:afterLines="0"/>
        <w:ind w:firstLine="562" w:firstLineChars="200"/>
        <w:rPr>
          <w:rFonts w:hint="eastAsia" w:ascii="仿宋" w:hAnsi="仿宋" w:eastAsia="仿宋" w:cs="仿宋"/>
          <w:b/>
          <w:sz w:val="28"/>
          <w:szCs w:val="28"/>
          <w:highlight w:val="none"/>
        </w:rPr>
      </w:pPr>
      <w:r>
        <w:rPr>
          <w:rFonts w:hint="eastAsia" w:ascii="仿宋" w:hAnsi="仿宋" w:eastAsia="仿宋" w:cs="仿宋"/>
          <w:b/>
          <w:sz w:val="28"/>
          <w:szCs w:val="28"/>
          <w:highlight w:val="none"/>
        </w:rPr>
        <w:t>项目预算</w:t>
      </w:r>
    </w:p>
    <w:p w14:paraId="07AC15B3">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本项目预算：人民币￥200,000.00元（限价20万元），报价超过限价视为无效。</w:t>
      </w:r>
    </w:p>
    <w:p w14:paraId="0B45CED8">
      <w:pPr>
        <w:spacing w:beforeLines="0" w:afterLines="0"/>
        <w:ind w:firstLine="562" w:firstLineChars="200"/>
        <w:rPr>
          <w:rFonts w:hint="eastAsia" w:ascii="仿宋" w:hAnsi="仿宋" w:eastAsia="仿宋" w:cs="仿宋"/>
          <w:b/>
          <w:sz w:val="28"/>
          <w:szCs w:val="28"/>
          <w:highlight w:val="none"/>
        </w:rPr>
      </w:pPr>
      <w:r>
        <w:rPr>
          <w:rFonts w:hint="eastAsia" w:ascii="仿宋" w:hAnsi="仿宋" w:eastAsia="仿宋" w:cs="仿宋"/>
          <w:b/>
          <w:sz w:val="28"/>
          <w:szCs w:val="28"/>
          <w:highlight w:val="none"/>
          <w:lang w:val="en-US" w:eastAsia="zh-CN"/>
        </w:rPr>
        <w:t>二</w:t>
      </w:r>
      <w:r>
        <w:rPr>
          <w:rFonts w:hint="eastAsia" w:ascii="仿宋" w:hAnsi="仿宋" w:eastAsia="仿宋" w:cs="仿宋"/>
          <w:b/>
          <w:sz w:val="28"/>
          <w:szCs w:val="28"/>
          <w:highlight w:val="none"/>
        </w:rPr>
        <w:t>、系统功能模块及技术参数</w:t>
      </w:r>
    </w:p>
    <w:p w14:paraId="6DAF0DF6">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二期建设须包含以下七大模块，具体功能要求如下：</w:t>
      </w:r>
    </w:p>
    <w:p w14:paraId="3A750AD4">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(一)餐饮经营单位综合考评体系</w:t>
      </w:r>
    </w:p>
    <w:p w14:paraId="733FC6E8">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1.围绕“考评设置-现场检查-审核确认-告知送达-统计分析”形成线上闭环。</w:t>
      </w:r>
    </w:p>
    <w:p w14:paraId="33001820">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2.▲考评项设置：支持按食堂、供应商、冷库等不同对象设置考评场景，分场景自定义考评项；每项可配置扣分分值及处罚规则，并区分日常检查项（支持移动终端现场考评）与非日常检查项（电脑端设置）。</w:t>
      </w:r>
    </w:p>
    <w:p w14:paraId="1EDE5D51">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3.奖励标准：配置奖励项目及对应奖励分值，按考评结果自动累计统计，支持奖励情况的定期分析。</w:t>
      </w:r>
    </w:p>
    <w:p w14:paraId="43961146">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4.红线问题：设置重大红线问题条目及严厉处罚规则，触发红线的问题直接纳入年度综合评定。</w:t>
      </w:r>
    </w:p>
    <w:p w14:paraId="1B91C2B1">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5.▲考评管理：支持录入负面行为、奖励事项、红线问题；关联食堂、经营单位，填写问题描述、上传违规图片生成考评记录，经校方审核后生效，全程留痕可追溯；支持移动终端现场拍照录入考评信息。</w:t>
      </w:r>
    </w:p>
    <w:p w14:paraId="2CBF1705">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6.▲处罚单：负面行为审核通过后，系统自动出具正式负面行为告知书，支持处罚单打印与归档。</w:t>
      </w:r>
    </w:p>
    <w:p w14:paraId="5FFBFDB7">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7.考评报表：按月度、学期、年度等时间维度统计食堂奖励、处罚明细；支持年度综合得分、平均分汇总分析与得分排名，报表可导出。</w:t>
      </w:r>
    </w:p>
    <w:p w14:paraId="7895F931">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8.第三方考评：支持第三方机构（食安机构、审计单位、满意度调研机构等）录入考评分数、上传考评报告，第三方结果纳入综合考评体系统一汇总。</w:t>
      </w:r>
    </w:p>
    <w:p w14:paraId="3D4BDE02">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(二)报告收集</w:t>
      </w:r>
    </w:p>
    <w:p w14:paraId="78D79D03">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1.实现日报、周报、月报、维护、巡检等各类报告的线上收集、审核、归档与查阅。</w:t>
      </w:r>
    </w:p>
    <w:p w14:paraId="694DA5C0">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2.报告类型：支持自定义配置各类报告类型，以及每类报告的填报内容要求与提交周期。</w:t>
      </w:r>
    </w:p>
    <w:p w14:paraId="70E3ADE8">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3.报告收集：各单位在线上传报告，可配置报告名称、类型、接收人员信息；接收人员在线查阅，逾期未报自动提醒。</w:t>
      </w:r>
    </w:p>
    <w:p w14:paraId="592F4414">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4.▲日检查：围绕日管控、周排查、月调度配置日常检查项并执行，记录检查结果，发现问题及时整改，形成闭环管理。</w:t>
      </w:r>
    </w:p>
    <w:p w14:paraId="59B721CB">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5.报告归档：报告按类型、单位、时间自动归档，支持多条件检索、在线查阅与下载。</w:t>
      </w:r>
    </w:p>
    <w:p w14:paraId="1A1B7BD5">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(三)任务管理</w:t>
      </w:r>
    </w:p>
    <w:p w14:paraId="080F2FB3">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发起任务、设置参数、实时跟踪进度；接收方更新进度、提交佐证；超期自动提醒</w:t>
      </w:r>
    </w:p>
    <w:p w14:paraId="0487693F">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（四）食品安全培训管理</w:t>
      </w:r>
    </w:p>
    <w:p w14:paraId="063B2485">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1.落实食品安全法定培训要求，实现食安培训组织管理，统计培训签到数据。</w:t>
      </w:r>
    </w:p>
    <w:p w14:paraId="519D2939">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2.培训管理：新建培训，配置时间、地点、参与人员；支持培训通知下发、二维码手机扫码签到，参训率自动统计，培训资料与签到记录留存归档。</w:t>
      </w:r>
    </w:p>
    <w:p w14:paraId="1B06A5D1">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(五)食品安全考试答题</w:t>
      </w:r>
    </w:p>
    <w:p w14:paraId="166F3223">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1.落实食品安全法定培训要求，实现线上考试管理，统计考试分数及及格率等数据。</w:t>
      </w:r>
    </w:p>
    <w:p w14:paraId="3B02838C">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2.▲试卷管理：维护食安知识试题题库，支持按题型、知识点组卷；可随机生成差异化试卷，每人试题不重复。</w:t>
      </w:r>
    </w:p>
    <w:p w14:paraId="174643B3">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3.▲考试管理：创建考试，选定参考人员、试卷与考试时间即可开启考试；交卷后自动判分，统计个人成绩、及格率、参考率等数据。</w:t>
      </w:r>
    </w:p>
    <w:p w14:paraId="2627E679">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4.错题集：自动归集个人错题，支持错题复习与重练，巩固培训成效。</w:t>
      </w:r>
    </w:p>
    <w:p w14:paraId="257B8098">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5.培训考试档案：按人员建立培训、考试台账，关联食品安全培训证等证件有效期管理，到期自动提醒复训。</w:t>
      </w:r>
    </w:p>
    <w:p w14:paraId="091B1C08">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(六)菜品管理</w:t>
      </w:r>
    </w:p>
    <w:p w14:paraId="6D1957F5">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1.搭建标准化菜品基础库，统一管理全校菜品信息；联动供应链模块维护菜品成本，开放接口，支持第三方点餐、选餐、结算系统对接调用。</w:t>
      </w:r>
    </w:p>
    <w:p w14:paraId="16FB8E46">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2.菜品类别：支持分级设置菜品分类，如汤面类、水饺类、拌面类等。</w:t>
      </w:r>
    </w:p>
    <w:p w14:paraId="1F2DAED8">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3.▲菜品库：存储菜品名称、单价、图片、分类、原材料等基础资料，统一编码、全校共享，避免重复维护。</w:t>
      </w:r>
    </w:p>
    <w:p w14:paraId="1BCA727A">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4.新菜品申请：食堂在线提交上新申请，经校方负责人审批后方可上架；已审批菜品数据可同步至校方点餐系统。</w:t>
      </w:r>
    </w:p>
    <w:p w14:paraId="20CF234B">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5.窗口菜品管理：各窗口从已审批菜品库挑选菜品上架，支持菜品暂停、下架等操作。</w:t>
      </w:r>
    </w:p>
    <w:p w14:paraId="6A5F20C3">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6.▲菜品成本管理：关联供应链原材料数据，录入原材料后自动核算原材料成本与菜品毛利率，支持按分类、窗口进行成本分析。</w:t>
      </w:r>
    </w:p>
    <w:p w14:paraId="3EFB34E0">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（七）大屏数据中心</w:t>
      </w:r>
    </w:p>
    <w:p w14:paraId="37D750B6">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1、系统支持多级大屏联动展示，支持定制化数据看板，直观呈现全链路核心指标，支撑各层级精准决策。</w:t>
      </w:r>
    </w:p>
    <w:p w14:paraId="06D88DC4">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2、依托可视化编辑引擎，可灵活定制涵盖运营总览、实时监控等多维视角的专属数据看板。</w:t>
      </w:r>
    </w:p>
    <w:p w14:paraId="7E27BA7D">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四、服务要求</w:t>
      </w:r>
    </w:p>
    <w:p w14:paraId="6A525E23">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系统对接：本次建设须与学校已上线的2025版智慧餐饮管理平台无缝对接，实现统一身份认证、统一数据标准、统一门户入口；并支持与现有供应链管理等系统通过标准接口对接。投标方须出具书面对接承诺，确保不影响现有2025版平台正常运行，因对接导致的故障或数据丢失由投标方承担责任。</w:t>
      </w:r>
    </w:p>
    <w:p w14:paraId="196A4109">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2.性能指标：</w:t>
      </w:r>
    </w:p>
    <w:p w14:paraId="062FAE1E">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（1）支持不少于500个并发用户同时在线操作，常规页面响应时间不超过1秒，兼容Chrome、Firefox、360等主流浏览器；</w:t>
      </w:r>
    </w:p>
    <w:p w14:paraId="387CEFF3">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（2）系统年可用率不低于99.5%，提供7×24小时运行保障；</w:t>
      </w:r>
    </w:p>
    <w:p w14:paraId="118A4411">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（3）支持移动终端（手机、平板）现场考评、扫码签到等场景稳定运行。</w:t>
      </w:r>
    </w:p>
    <w:p w14:paraId="4828C80C">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3.数据与安全：</w:t>
      </w:r>
    </w:p>
    <w:p w14:paraId="5863F3F2">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（1）餐饮经营数据、考评记录、人员证件信息等数据存储于学校指定服务器或校园云环境，数据所有权归学校；系统须采用数据加密传输、操作日志审计、防范SQL注入攻击、多重数据备份等安全机制；</w:t>
      </w:r>
    </w:p>
    <w:p w14:paraId="4D523613">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（2）投标方须配合完成历史数据的迁移、清洗与导入。</w:t>
      </w:r>
    </w:p>
    <w:p w14:paraId="508BB435">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4.实施周期：合同签订后</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0个日历日内完成系统开发、部署、测试并上线试运行；上线试运行10日后组织终验。</w:t>
      </w:r>
    </w:p>
    <w:p w14:paraId="6484F72F">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5.培训交付：对校方管理人员、食堂运营人员开展不少于2场操作培训，提供完整操作手册、系统管理员手册与运维文档。</w:t>
      </w:r>
    </w:p>
    <w:p w14:paraId="7FFE2EEC">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6.售后服务：</w:t>
      </w:r>
    </w:p>
    <w:p w14:paraId="2136E07E">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（1）终验合格后提供不少于1年免费质保与运维服务；</w:t>
      </w:r>
    </w:p>
    <w:p w14:paraId="50B7DE9E">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（2）提供7×24小时技术支持热线，接到通知后技术人员2小时内到校、24小时内排除故障；</w:t>
      </w:r>
    </w:p>
    <w:p w14:paraId="63BF5A8A">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（3）质保期满后续约运维须单列报价。</w:t>
      </w:r>
    </w:p>
    <w:p w14:paraId="0C0A10DD">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7.本地化服务：</w:t>
      </w:r>
    </w:p>
    <w:p w14:paraId="12BE1176">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（1）投标方须在上海市行政区域内设有固定办公场所，提供房产证或租赁合同复印件；</w:t>
      </w:r>
    </w:p>
    <w:p w14:paraId="209C2A1D">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（2）报价时须附从其上海办公场所至学校（上海市虹口区大连西路550号）的导航路线及预计通勤时间（含驾车、公共交通两种方式），承诺技术人员到场时间不超过2小时；</w:t>
      </w:r>
    </w:p>
    <w:p w14:paraId="6CA5186B">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（3）项目实施及质保期内，须指派至少1名工程师负责现场对接与日常运维。</w:t>
      </w:r>
    </w:p>
    <w:p w14:paraId="7A6B6BA2">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（4）移动端与消息推送：</w:t>
      </w:r>
    </w:p>
    <w:p w14:paraId="0DD7BD10">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（5）系统须支持移动端访问，使用微信小程序；</w:t>
      </w:r>
    </w:p>
    <w:p w14:paraId="5302AD51">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（6）支持短信、微信消息推送，实现待办提醒、到期预警、投诉处理等移动化业务场景。</w:t>
      </w:r>
    </w:p>
    <w:p w14:paraId="0861629E">
      <w:pPr>
        <w:spacing w:beforeLines="0" w:afterLines="0"/>
        <w:ind w:firstLine="562" w:firstLineChars="200"/>
        <w:rPr>
          <w:rFonts w:hint="eastAsia" w:ascii="仿宋" w:hAnsi="仿宋" w:eastAsia="仿宋" w:cs="仿宋"/>
          <w:b/>
          <w:sz w:val="28"/>
          <w:szCs w:val="28"/>
          <w:highlight w:val="none"/>
        </w:rPr>
      </w:pPr>
      <w:r>
        <w:rPr>
          <w:rFonts w:hint="eastAsia" w:ascii="仿宋" w:hAnsi="仿宋" w:eastAsia="仿宋" w:cs="仿宋"/>
          <w:b/>
          <w:sz w:val="28"/>
          <w:szCs w:val="28"/>
          <w:highlight w:val="none"/>
          <w:lang w:val="en-US" w:eastAsia="zh-CN"/>
        </w:rPr>
        <w:t>三</w:t>
      </w:r>
      <w:r>
        <w:rPr>
          <w:rFonts w:hint="eastAsia" w:ascii="仿宋" w:hAnsi="仿宋" w:eastAsia="仿宋" w:cs="仿宋"/>
          <w:b/>
          <w:sz w:val="28"/>
          <w:szCs w:val="28"/>
          <w:highlight w:val="none"/>
        </w:rPr>
        <w:t>、技术需求</w:t>
      </w:r>
    </w:p>
    <w:p w14:paraId="7AAF2EE3">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1.架构与扩展能力：</w:t>
      </w:r>
    </w:p>
    <w:p w14:paraId="3C128EC1">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（1）系统采用SOA面向服务架构，模块化设计，支持后续功能扩展与模块独立部署；</w:t>
      </w:r>
    </w:p>
    <w:p w14:paraId="33EA7743">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（2）提供标准API接口文档，具备与学校一卡通、资产、财务、点餐等系统对接的能力；</w:t>
      </w:r>
    </w:p>
    <w:p w14:paraId="19F0FAEE">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（3）系统部署支持Linux/UNIX操作系统，具备水平扩展能力。</w:t>
      </w:r>
    </w:p>
    <w:p w14:paraId="0DC5B544">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2.数据可视化：</w:t>
      </w:r>
    </w:p>
    <w:p w14:paraId="4BA112A5">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（1）提供专业报表，按主题展示考评、报告、菜品、营业等统计分析报表；</w:t>
      </w:r>
    </w:p>
    <w:p w14:paraId="6B51E710">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（2）各类报表支持Excel、PDF格式导出。</w:t>
      </w:r>
    </w:p>
    <w:p w14:paraId="39B9C4A9">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3.验收标准：按本需求书所列功能模块逐项验收，提供测试用例及通过记录；验收文档包括软件安装手册、使用手册、培训资料、验收报告及培训完成确认文件。</w:t>
      </w:r>
    </w:p>
    <w:p w14:paraId="11BAC42F">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4.演示与证明材料：</w:t>
      </w:r>
    </w:p>
    <w:p w14:paraId="288D1BC1">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（1）投标方须对本需求书所列功能模块提供对应软件界面截图（加盖公章），截图须配文字说明功能逻辑，直接复制本需求书文字作为响应材料的视为未实质性响应；</w:t>
      </w:r>
    </w:p>
    <w:p w14:paraId="19B993BD">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（2）投标时须提供核心功能操作演示视频（格式为MP4或AVI，时长不超过30分钟），覆盖考评、报告收集、培训、考试、菜品管理和大屏数据看板等核心业务流程。</w:t>
      </w:r>
    </w:p>
    <w:p w14:paraId="0D314CD5">
      <w:pPr>
        <w:spacing w:beforeLines="0" w:afterLines="0"/>
        <w:ind w:firstLine="562" w:firstLineChars="200"/>
        <w:rPr>
          <w:rFonts w:hint="eastAsia" w:ascii="仿宋" w:hAnsi="仿宋" w:eastAsia="仿宋" w:cs="仿宋"/>
          <w:b/>
          <w:sz w:val="28"/>
          <w:szCs w:val="28"/>
          <w:highlight w:val="none"/>
        </w:rPr>
      </w:pPr>
      <w:r>
        <w:rPr>
          <w:rFonts w:hint="eastAsia" w:ascii="仿宋" w:hAnsi="仿宋" w:eastAsia="仿宋" w:cs="仿宋"/>
          <w:b/>
          <w:sz w:val="28"/>
          <w:szCs w:val="28"/>
          <w:highlight w:val="none"/>
          <w:lang w:val="en-US" w:eastAsia="zh-CN"/>
        </w:rPr>
        <w:t>四</w:t>
      </w:r>
      <w:r>
        <w:rPr>
          <w:rFonts w:hint="eastAsia" w:ascii="仿宋" w:hAnsi="仿宋" w:eastAsia="仿宋" w:cs="仿宋"/>
          <w:b/>
          <w:sz w:val="28"/>
          <w:szCs w:val="28"/>
          <w:highlight w:val="none"/>
        </w:rPr>
        <w:t>、评审办法</w:t>
      </w:r>
    </w:p>
    <w:p w14:paraId="4DCB6525">
      <w:pPr>
        <w:spacing w:beforeLines="0" w:afterLines="0"/>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本项目采用综合评分法，总分100分，具体分配如下：</w:t>
      </w:r>
    </w:p>
    <w:tbl>
      <w:tblPr>
        <w:tblStyle w:val="4"/>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151"/>
        <w:gridCol w:w="1149"/>
        <w:gridCol w:w="6538"/>
      </w:tblGrid>
      <w:tr w14:paraId="2DD3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single" w:color="auto" w:sz="4" w:space="0"/>
              <w:left w:val="single" w:color="auto" w:sz="4" w:space="0"/>
              <w:bottom w:val="single" w:color="auto" w:sz="4" w:space="0"/>
              <w:right w:val="single" w:color="auto" w:sz="4" w:space="0"/>
              <w:tl2br w:val="nil"/>
              <w:tr2bl w:val="nil"/>
            </w:tcBorders>
            <w:shd w:val="clear" w:color="auto" w:fill="D9E2F3"/>
            <w:noWrap w:val="0"/>
            <w:vAlign w:val="center"/>
          </w:tcPr>
          <w:p w14:paraId="0AC52628">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序号</w:t>
            </w:r>
          </w:p>
        </w:tc>
        <w:tc>
          <w:tcPr>
            <w:tcW w:w="1151" w:type="dxa"/>
            <w:tcBorders>
              <w:top w:val="single" w:color="auto" w:sz="4" w:space="0"/>
              <w:left w:val="single" w:color="auto" w:sz="4" w:space="0"/>
              <w:bottom w:val="single" w:color="auto" w:sz="4" w:space="0"/>
              <w:right w:val="single" w:color="auto" w:sz="4" w:space="0"/>
              <w:tl2br w:val="nil"/>
              <w:tr2bl w:val="nil"/>
            </w:tcBorders>
            <w:shd w:val="clear" w:color="auto" w:fill="D9E2F3"/>
            <w:noWrap w:val="0"/>
            <w:vAlign w:val="center"/>
          </w:tcPr>
          <w:p w14:paraId="34360020">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评审因素</w:t>
            </w:r>
          </w:p>
        </w:tc>
        <w:tc>
          <w:tcPr>
            <w:tcW w:w="1149" w:type="dxa"/>
            <w:tcBorders>
              <w:top w:val="single" w:color="auto" w:sz="4" w:space="0"/>
              <w:left w:val="single" w:color="auto" w:sz="4" w:space="0"/>
              <w:bottom w:val="single" w:color="auto" w:sz="4" w:space="0"/>
              <w:right w:val="single" w:color="auto" w:sz="4" w:space="0"/>
              <w:tl2br w:val="nil"/>
              <w:tr2bl w:val="nil"/>
            </w:tcBorders>
            <w:shd w:val="clear" w:color="auto" w:fill="D9E2F3"/>
            <w:noWrap w:val="0"/>
            <w:vAlign w:val="center"/>
          </w:tcPr>
          <w:p w14:paraId="6A38D775">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满分</w:t>
            </w:r>
          </w:p>
        </w:tc>
        <w:tc>
          <w:tcPr>
            <w:tcW w:w="6538" w:type="dxa"/>
            <w:tcBorders>
              <w:top w:val="single" w:color="auto" w:sz="4" w:space="0"/>
              <w:left w:val="single" w:color="auto" w:sz="4" w:space="0"/>
              <w:bottom w:val="single" w:color="auto" w:sz="4" w:space="0"/>
              <w:right w:val="single" w:color="auto" w:sz="4" w:space="0"/>
              <w:tl2br w:val="nil"/>
              <w:tr2bl w:val="nil"/>
            </w:tcBorders>
            <w:shd w:val="clear" w:color="auto" w:fill="D9E2F3"/>
            <w:noWrap w:val="0"/>
            <w:vAlign w:val="center"/>
          </w:tcPr>
          <w:p w14:paraId="224CBE7C">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评分要点及标准说明</w:t>
            </w:r>
          </w:p>
        </w:tc>
      </w:tr>
      <w:tr w14:paraId="6A5F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FF24FE">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w:t>
            </w:r>
          </w:p>
        </w:tc>
        <w:tc>
          <w:tcPr>
            <w:tcW w:w="11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48E048">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投标报价</w:t>
            </w:r>
          </w:p>
        </w:tc>
        <w:tc>
          <w:tcPr>
            <w:tcW w:w="11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B6D956">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30分</w:t>
            </w:r>
          </w:p>
        </w:tc>
        <w:tc>
          <w:tcPr>
            <w:tcW w:w="65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F39131">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（基准价法）</w:t>
            </w:r>
          </w:p>
          <w:p w14:paraId="3073B4B5">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 满足招标文件实质性要求的最低报价为评审基准价，得30分。</w:t>
            </w:r>
          </w:p>
          <w:p w14:paraId="6B956A96">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 其他报价得分＝（评审基准价÷该供应商报价）×30，得分保留小数点后两位，第三位四舍五入。</w:t>
            </w:r>
          </w:p>
          <w:p w14:paraId="2E5F789B">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 报价低于成本且不能提供合理说明的，按无效投标处理，不参与报价评审。</w:t>
            </w:r>
          </w:p>
        </w:tc>
      </w:tr>
      <w:tr w14:paraId="673D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7B7C99">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w:t>
            </w:r>
          </w:p>
        </w:tc>
        <w:tc>
          <w:tcPr>
            <w:tcW w:w="11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71AFE7">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技术响应情况</w:t>
            </w:r>
          </w:p>
        </w:tc>
        <w:tc>
          <w:tcPr>
            <w:tcW w:w="11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75D826">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15分</w:t>
            </w:r>
          </w:p>
        </w:tc>
        <w:tc>
          <w:tcPr>
            <w:tcW w:w="65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16ADF9">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（1）标注“▲”的重要技术指标，全部满足得</w:t>
            </w:r>
            <w:r>
              <w:rPr>
                <w:rFonts w:hint="eastAsia" w:ascii="仿宋" w:hAnsi="仿宋" w:eastAsia="仿宋" w:cs="仿宋"/>
                <w:color w:val="000000"/>
                <w:sz w:val="28"/>
                <w:szCs w:val="28"/>
                <w:highlight w:val="none"/>
                <w:lang w:val="en-US" w:eastAsia="zh-CN"/>
              </w:rPr>
              <w:t>8</w:t>
            </w:r>
            <w:r>
              <w:rPr>
                <w:rFonts w:hint="eastAsia" w:ascii="仿宋" w:hAnsi="仿宋" w:eastAsia="仿宋" w:cs="仿宋"/>
                <w:color w:val="000000"/>
                <w:sz w:val="28"/>
                <w:szCs w:val="28"/>
                <w:highlight w:val="none"/>
              </w:rPr>
              <w:t>分；有一项不满足扣1</w:t>
            </w:r>
            <w:bookmarkStart w:id="4" w:name="_GoBack"/>
            <w:bookmarkEnd w:id="4"/>
            <w:r>
              <w:rPr>
                <w:rFonts w:hint="eastAsia" w:ascii="仿宋" w:hAnsi="仿宋" w:eastAsia="仿宋" w:cs="仿宋"/>
                <w:color w:val="000000"/>
                <w:sz w:val="28"/>
                <w:szCs w:val="28"/>
                <w:highlight w:val="none"/>
              </w:rPr>
              <w:t>分，扣完为止。</w:t>
            </w:r>
          </w:p>
          <w:p w14:paraId="4F8F7B14">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（2）未标注“▲”的一般技术指标，全部满足得</w:t>
            </w:r>
            <w:r>
              <w:rPr>
                <w:rFonts w:hint="eastAsia" w:ascii="仿宋" w:hAnsi="仿宋" w:eastAsia="仿宋" w:cs="仿宋"/>
                <w:color w:val="000000"/>
                <w:sz w:val="28"/>
                <w:szCs w:val="28"/>
                <w:highlight w:val="none"/>
                <w:lang w:val="en-US" w:eastAsia="zh-CN"/>
              </w:rPr>
              <w:t>7</w:t>
            </w:r>
            <w:r>
              <w:rPr>
                <w:rFonts w:hint="eastAsia" w:ascii="仿宋" w:hAnsi="仿宋" w:eastAsia="仿宋" w:cs="仿宋"/>
                <w:color w:val="000000"/>
                <w:sz w:val="28"/>
                <w:szCs w:val="28"/>
                <w:highlight w:val="none"/>
              </w:rPr>
              <w:t>分；有一项不满足扣0.5分，扣完为止。</w:t>
            </w:r>
          </w:p>
          <w:p w14:paraId="03F96E30">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（3）技术参数须提供证明材料（功能截图），未提供或无法证明的，视为不满足。</w:t>
            </w:r>
          </w:p>
          <w:p w14:paraId="06332476">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（4）本项累计扣分不超过15分，最低0分。</w:t>
            </w:r>
          </w:p>
        </w:tc>
      </w:tr>
      <w:tr w14:paraId="0059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6202B1">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w:t>
            </w:r>
          </w:p>
        </w:tc>
        <w:tc>
          <w:tcPr>
            <w:tcW w:w="11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E79A27">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业绩</w:t>
            </w:r>
          </w:p>
        </w:tc>
        <w:tc>
          <w:tcPr>
            <w:tcW w:w="11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7D9B82">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10分</w:t>
            </w:r>
          </w:p>
        </w:tc>
        <w:tc>
          <w:tcPr>
            <w:tcW w:w="65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16F3CA">
            <w:pPr>
              <w:spacing w:beforeLines="0" w:afterLines="0"/>
              <w:rPr>
                <w:rFonts w:hint="eastAsia" w:ascii="仿宋" w:hAnsi="仿宋" w:eastAsia="仿宋" w:cs="仿宋"/>
                <w:color w:val="000000"/>
                <w:sz w:val="28"/>
                <w:szCs w:val="28"/>
                <w:highlight w:val="none"/>
                <w:shd w:val="clear"/>
              </w:rPr>
            </w:pPr>
            <w:r>
              <w:rPr>
                <w:rFonts w:hint="eastAsia" w:ascii="仿宋" w:hAnsi="仿宋" w:eastAsia="仿宋" w:cs="仿宋"/>
                <w:color w:val="000000"/>
                <w:sz w:val="28"/>
                <w:szCs w:val="28"/>
                <w:highlight w:val="none"/>
              </w:rPr>
              <w:t>1. 时</w:t>
            </w:r>
            <w:r>
              <w:rPr>
                <w:rFonts w:hint="eastAsia" w:ascii="仿宋" w:hAnsi="仿宋" w:eastAsia="仿宋" w:cs="仿宋"/>
                <w:color w:val="000000"/>
                <w:sz w:val="28"/>
                <w:szCs w:val="28"/>
                <w:highlight w:val="none"/>
                <w:shd w:val="clear"/>
              </w:rPr>
              <w:t>间范围：近三年（2023年7月1日至今）的类似</w:t>
            </w:r>
            <w:r>
              <w:rPr>
                <w:rFonts w:hint="eastAsia" w:ascii="仿宋" w:hAnsi="仿宋" w:eastAsia="仿宋" w:cs="仿宋"/>
                <w:color w:val="000000"/>
                <w:sz w:val="28"/>
                <w:szCs w:val="28"/>
                <w:highlight w:val="none"/>
                <w:shd w:val="clear"/>
                <w:lang w:val="en-US" w:eastAsia="zh-CN"/>
              </w:rPr>
              <w:t>高校类或企业</w:t>
            </w:r>
            <w:r>
              <w:rPr>
                <w:rFonts w:hint="eastAsia" w:ascii="仿宋" w:hAnsi="仿宋" w:eastAsia="仿宋" w:cs="仿宋"/>
                <w:color w:val="000000"/>
                <w:sz w:val="28"/>
                <w:szCs w:val="28"/>
                <w:highlight w:val="none"/>
                <w:shd w:val="clear"/>
              </w:rPr>
              <w:t>项目合同。</w:t>
            </w:r>
          </w:p>
          <w:p w14:paraId="6CEA2F03">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 计分规则：每提供一份</w:t>
            </w:r>
            <w:r>
              <w:rPr>
                <w:rFonts w:hint="eastAsia" w:ascii="仿宋" w:hAnsi="仿宋" w:eastAsia="仿宋" w:cs="仿宋"/>
                <w:color w:val="000000"/>
                <w:sz w:val="28"/>
                <w:szCs w:val="28"/>
                <w:highlight w:val="none"/>
                <w:lang w:val="en-US" w:eastAsia="zh-CN"/>
              </w:rPr>
              <w:t>高校类似合同</w:t>
            </w:r>
            <w:r>
              <w:rPr>
                <w:rFonts w:hint="eastAsia" w:ascii="仿宋" w:hAnsi="仿宋" w:eastAsia="仿宋" w:cs="仿宋"/>
                <w:color w:val="000000"/>
                <w:sz w:val="28"/>
                <w:szCs w:val="28"/>
                <w:highlight w:val="none"/>
              </w:rPr>
              <w:t>得2分，</w:t>
            </w:r>
            <w:r>
              <w:rPr>
                <w:rFonts w:hint="eastAsia" w:ascii="仿宋" w:hAnsi="仿宋" w:eastAsia="仿宋" w:cs="仿宋"/>
                <w:color w:val="000000"/>
                <w:sz w:val="28"/>
                <w:szCs w:val="28"/>
                <w:highlight w:val="none"/>
                <w:lang w:val="en-US" w:eastAsia="zh-CN"/>
              </w:rPr>
              <w:t>每提供一份企业类似合同得1分，</w:t>
            </w:r>
            <w:r>
              <w:rPr>
                <w:rFonts w:hint="eastAsia" w:ascii="仿宋" w:hAnsi="仿宋" w:eastAsia="仿宋" w:cs="仿宋"/>
                <w:color w:val="000000"/>
                <w:sz w:val="28"/>
                <w:szCs w:val="28"/>
                <w:highlight w:val="none"/>
              </w:rPr>
              <w:t>最高10分；同一甲方多份合同可累计，但须为相互独立项目。</w:t>
            </w:r>
          </w:p>
          <w:p w14:paraId="4FAE8EFF">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 证明材料：合同复印件加盖公章，须含首页、合同主要内容页、签字盖章页。</w:t>
            </w:r>
          </w:p>
          <w:p w14:paraId="445F30EC">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 合同内容须体现与本项目类似的产品或服务，否则不予认可；时间以合同签订日期为准。</w:t>
            </w:r>
          </w:p>
        </w:tc>
      </w:tr>
      <w:tr w14:paraId="68B4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A24DE6">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w:t>
            </w:r>
          </w:p>
        </w:tc>
        <w:tc>
          <w:tcPr>
            <w:tcW w:w="11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BBEC2E">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软件著作权</w:t>
            </w:r>
          </w:p>
        </w:tc>
        <w:tc>
          <w:tcPr>
            <w:tcW w:w="11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A70579">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10</w:t>
            </w:r>
            <w:r>
              <w:rPr>
                <w:rFonts w:hint="eastAsia" w:ascii="仿宋" w:hAnsi="仿宋" w:eastAsia="仿宋" w:cs="仿宋"/>
                <w:color w:val="000000"/>
                <w:sz w:val="28"/>
                <w:szCs w:val="28"/>
                <w:highlight w:val="none"/>
              </w:rPr>
              <w:t>分</w:t>
            </w:r>
          </w:p>
        </w:tc>
        <w:tc>
          <w:tcPr>
            <w:tcW w:w="65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E13CE8">
            <w:pPr>
              <w:numPr>
                <w:ilvl w:val="0"/>
                <w:numId w:val="3"/>
              </w:numPr>
              <w:spacing w:beforeLines="0" w:afterLines="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计分内容：</w:t>
            </w:r>
          </w:p>
          <w:p w14:paraId="540C3136">
            <w:pPr>
              <w:spacing w:beforeLines="0" w:afterLines="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提供与本项目核心功能直接相关的软件著作权证书复印件并加盖公章的，得</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分。提供证书但与本项目核心功能无关的，得1分。未提供或证书无效的，不得分。</w:t>
            </w:r>
          </w:p>
          <w:p w14:paraId="08A9CEB5">
            <w:pPr>
              <w:numPr>
                <w:ilvl w:val="0"/>
                <w:numId w:val="4"/>
              </w:numPr>
              <w:spacing w:beforeLines="0" w:afterLines="0"/>
              <w:rPr>
                <w:rFonts w:hint="eastAsia" w:ascii="仿宋" w:hAnsi="仿宋" w:eastAsia="仿宋" w:cs="仿宋"/>
                <w:sz w:val="28"/>
                <w:szCs w:val="28"/>
                <w:lang w:val="en-US" w:eastAsia="zh-CN"/>
              </w:rPr>
            </w:pPr>
            <w:r>
              <w:rPr>
                <w:rFonts w:hint="eastAsia" w:ascii="仿宋" w:hAnsi="仿宋" w:eastAsia="仿宋" w:cs="仿宋"/>
                <w:color w:val="000000"/>
                <w:sz w:val="28"/>
                <w:szCs w:val="28"/>
                <w:highlight w:val="none"/>
                <w:lang w:val="en-US" w:eastAsia="zh-CN"/>
              </w:rPr>
              <w:t>具有</w:t>
            </w:r>
            <w:bookmarkStart w:id="0" w:name="_Toc242015764"/>
            <w:r>
              <w:rPr>
                <w:rFonts w:hint="eastAsia" w:ascii="仿宋" w:hAnsi="仿宋" w:eastAsia="仿宋" w:cs="仿宋"/>
                <w:sz w:val="28"/>
                <w:szCs w:val="28"/>
              </w:rPr>
              <w:t>智慧餐饮管理平台计算机软件著作权登记证书</w:t>
            </w:r>
            <w:bookmarkEnd w:id="0"/>
            <w:r>
              <w:rPr>
                <w:rFonts w:hint="eastAsia" w:ascii="仿宋" w:hAnsi="仿宋" w:eastAsia="仿宋" w:cs="仿宋"/>
                <w:sz w:val="28"/>
                <w:szCs w:val="28"/>
                <w:lang w:val="en-US" w:eastAsia="zh-CN"/>
              </w:rPr>
              <w:t>得2分</w:t>
            </w:r>
          </w:p>
          <w:p w14:paraId="3F933200">
            <w:pPr>
              <w:numPr>
                <w:ilvl w:val="0"/>
                <w:numId w:val="4"/>
              </w:numPr>
              <w:spacing w:beforeLines="0" w:afterLines="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具有智慧餐饮管理软件产品证书得2分</w:t>
            </w:r>
          </w:p>
          <w:p w14:paraId="450C8DBB">
            <w:pPr>
              <w:numPr>
                <w:ilvl w:val="0"/>
                <w:numId w:val="4"/>
              </w:numPr>
              <w:spacing w:beforeLines="0" w:afterLines="0"/>
              <w:rPr>
                <w:rFonts w:hint="eastAsia" w:ascii="仿宋" w:hAnsi="仿宋" w:eastAsia="仿宋" w:cs="仿宋"/>
                <w:color w:val="000000"/>
                <w:sz w:val="28"/>
                <w:szCs w:val="28"/>
                <w:highlight w:val="none"/>
                <w:lang w:val="en-US" w:eastAsia="zh-CN"/>
              </w:rPr>
            </w:pPr>
            <w:bookmarkStart w:id="1" w:name="_Toc242015769"/>
            <w:r>
              <w:rPr>
                <w:rFonts w:hint="eastAsia" w:ascii="仿宋" w:hAnsi="仿宋" w:eastAsia="仿宋" w:cs="仿宋"/>
                <w:sz w:val="28"/>
                <w:szCs w:val="28"/>
                <w:lang w:val="en-US" w:eastAsia="zh-CN"/>
              </w:rPr>
              <w:t>具有</w:t>
            </w:r>
            <w:r>
              <w:rPr>
                <w:rFonts w:hint="eastAsia" w:ascii="仿宋" w:hAnsi="仿宋" w:eastAsia="仿宋" w:cs="仿宋"/>
                <w:sz w:val="28"/>
                <w:szCs w:val="28"/>
              </w:rPr>
              <w:t>实用新型专利证书</w:t>
            </w:r>
            <w:bookmarkEnd w:id="1"/>
            <w:r>
              <w:rPr>
                <w:rFonts w:hint="eastAsia" w:ascii="仿宋" w:hAnsi="仿宋" w:eastAsia="仿宋" w:cs="仿宋"/>
                <w:sz w:val="28"/>
                <w:szCs w:val="28"/>
                <w:lang w:val="en-US" w:eastAsia="zh-CN"/>
              </w:rPr>
              <w:t>得2分</w:t>
            </w:r>
          </w:p>
          <w:p w14:paraId="7FAFE4FB">
            <w:pPr>
              <w:numPr>
                <w:ilvl w:val="0"/>
                <w:numId w:val="4"/>
              </w:numPr>
              <w:spacing w:beforeLines="0" w:afterLines="0"/>
              <w:rPr>
                <w:rFonts w:hint="default" w:ascii="仿宋" w:hAnsi="仿宋" w:eastAsia="仿宋" w:cs="仿宋"/>
                <w:color w:val="000000"/>
                <w:sz w:val="28"/>
                <w:szCs w:val="28"/>
                <w:highlight w:val="none"/>
                <w:lang w:val="en-US" w:eastAsia="zh-CN"/>
              </w:rPr>
            </w:pPr>
            <w:bookmarkStart w:id="2" w:name="_Toc242015770"/>
            <w:r>
              <w:rPr>
                <w:rFonts w:hint="eastAsia" w:ascii="仿宋" w:hAnsi="仿宋" w:eastAsia="仿宋" w:cs="仿宋"/>
                <w:sz w:val="28"/>
                <w:szCs w:val="28"/>
                <w:lang w:val="en-US" w:eastAsia="zh-CN"/>
              </w:rPr>
              <w:t>具有</w:t>
            </w:r>
            <w:r>
              <w:rPr>
                <w:rFonts w:hint="eastAsia" w:ascii="仿宋" w:hAnsi="仿宋" w:eastAsia="仿宋" w:cs="仿宋"/>
                <w:sz w:val="28"/>
                <w:szCs w:val="28"/>
              </w:rPr>
              <w:t>综合考评系统V1.0</w:t>
            </w:r>
            <w:bookmarkEnd w:id="2"/>
            <w:r>
              <w:rPr>
                <w:rFonts w:hint="eastAsia" w:ascii="仿宋" w:hAnsi="仿宋" w:eastAsia="仿宋" w:cs="仿宋"/>
                <w:sz w:val="28"/>
                <w:szCs w:val="28"/>
                <w:lang w:val="en-US" w:eastAsia="zh-CN"/>
              </w:rPr>
              <w:t>得2分</w:t>
            </w:r>
          </w:p>
          <w:p w14:paraId="48FFEF6A">
            <w:pPr>
              <w:numPr>
                <w:ilvl w:val="0"/>
                <w:numId w:val="4"/>
              </w:numPr>
              <w:spacing w:beforeLines="0" w:afterLines="0"/>
              <w:rPr>
                <w:rFonts w:hint="default" w:ascii="仿宋" w:hAnsi="仿宋" w:eastAsia="仿宋" w:cs="仿宋"/>
                <w:color w:val="000000"/>
                <w:sz w:val="28"/>
                <w:szCs w:val="28"/>
                <w:highlight w:val="none"/>
                <w:lang w:val="en-US" w:eastAsia="zh-CN"/>
              </w:rPr>
            </w:pPr>
            <w:bookmarkStart w:id="3" w:name="_Toc242015768"/>
            <w:r>
              <w:rPr>
                <w:rFonts w:hint="eastAsia" w:ascii="仿宋" w:hAnsi="仿宋" w:eastAsia="仿宋" w:cs="仿宋"/>
                <w:sz w:val="28"/>
                <w:szCs w:val="28"/>
                <w:lang w:val="en-US" w:eastAsia="zh-CN"/>
              </w:rPr>
              <w:t>具有</w:t>
            </w:r>
            <w:r>
              <w:rPr>
                <w:rFonts w:hint="eastAsia" w:ascii="仿宋" w:hAnsi="仿宋" w:eastAsia="仿宋" w:cs="仿宋"/>
                <w:sz w:val="28"/>
                <w:szCs w:val="28"/>
              </w:rPr>
              <w:t>采购仓储一体化平台软件著作权证书</w:t>
            </w:r>
            <w:bookmarkEnd w:id="3"/>
            <w:r>
              <w:rPr>
                <w:rFonts w:hint="eastAsia" w:ascii="仿宋" w:hAnsi="仿宋" w:eastAsia="仿宋" w:cs="仿宋"/>
                <w:sz w:val="28"/>
                <w:szCs w:val="28"/>
                <w:lang w:val="en-US" w:eastAsia="zh-CN"/>
              </w:rPr>
              <w:t>得2分</w:t>
            </w:r>
          </w:p>
        </w:tc>
      </w:tr>
      <w:tr w14:paraId="32BF8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0FFF80">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p>
        </w:tc>
        <w:tc>
          <w:tcPr>
            <w:tcW w:w="11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853E4E">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实施方案</w:t>
            </w:r>
          </w:p>
        </w:tc>
        <w:tc>
          <w:tcPr>
            <w:tcW w:w="11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2853FA">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20分</w:t>
            </w:r>
          </w:p>
        </w:tc>
        <w:tc>
          <w:tcPr>
            <w:tcW w:w="65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9654F6">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实施进度（6分）：提供含需求确认、平台对接、</w:t>
            </w:r>
            <w:r>
              <w:rPr>
                <w:rFonts w:hint="eastAsia" w:ascii="仿宋" w:hAnsi="仿宋" w:eastAsia="仿宋" w:cs="仿宋"/>
                <w:color w:val="000000"/>
                <w:sz w:val="28"/>
                <w:szCs w:val="28"/>
                <w:highlight w:val="none"/>
                <w:lang w:val="en-US" w:eastAsia="zh-CN"/>
              </w:rPr>
              <w:t>开发</w:t>
            </w:r>
            <w:r>
              <w:rPr>
                <w:rFonts w:hint="eastAsia" w:ascii="仿宋" w:hAnsi="仿宋" w:eastAsia="仿宋" w:cs="仿宋"/>
                <w:color w:val="000000"/>
                <w:sz w:val="28"/>
                <w:szCs w:val="28"/>
                <w:highlight w:val="none"/>
              </w:rPr>
              <w:t>部署</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上线试运行、终验</w:t>
            </w:r>
            <w:r>
              <w:rPr>
                <w:rFonts w:hint="eastAsia" w:ascii="仿宋" w:hAnsi="仿宋" w:eastAsia="仿宋" w:cs="仿宋"/>
                <w:color w:val="000000"/>
                <w:sz w:val="28"/>
                <w:szCs w:val="28"/>
                <w:highlight w:val="none"/>
                <w:lang w:val="en-US" w:eastAsia="zh-CN"/>
              </w:rPr>
              <w:t>等各</w:t>
            </w:r>
            <w:r>
              <w:rPr>
                <w:rFonts w:hint="eastAsia" w:ascii="仿宋" w:hAnsi="仿宋" w:eastAsia="仿宋" w:cs="仿宋"/>
                <w:color w:val="000000"/>
                <w:sz w:val="28"/>
                <w:szCs w:val="28"/>
                <w:highlight w:val="none"/>
              </w:rPr>
              <w:t>节点的实施计划，总工期≤</w:t>
            </w:r>
            <w:r>
              <w:rPr>
                <w:rFonts w:hint="eastAsia" w:ascii="仿宋" w:hAnsi="仿宋" w:eastAsia="仿宋" w:cs="仿宋"/>
                <w:color w:val="000000"/>
                <w:sz w:val="28"/>
                <w:szCs w:val="28"/>
                <w:highlight w:val="none"/>
                <w:lang w:val="en-US" w:eastAsia="zh-CN"/>
              </w:rPr>
              <w:t>4</w:t>
            </w:r>
            <w:r>
              <w:rPr>
                <w:rFonts w:hint="eastAsia" w:ascii="仿宋" w:hAnsi="仿宋" w:eastAsia="仿宋" w:cs="仿宋"/>
                <w:color w:val="000000"/>
                <w:sz w:val="28"/>
                <w:szCs w:val="28"/>
                <w:highlight w:val="none"/>
              </w:rPr>
              <w:t>0</w:t>
            </w:r>
            <w:r>
              <w:rPr>
                <w:rFonts w:hint="eastAsia" w:ascii="仿宋" w:hAnsi="仿宋" w:eastAsia="仿宋" w:cs="仿宋"/>
                <w:color w:val="000000"/>
                <w:sz w:val="28"/>
                <w:szCs w:val="28"/>
                <w:highlight w:val="none"/>
                <w:lang w:val="en-US" w:eastAsia="zh-CN"/>
              </w:rPr>
              <w:t>日历日</w:t>
            </w:r>
            <w:r>
              <w:rPr>
                <w:rFonts w:hint="eastAsia" w:ascii="仿宋" w:hAnsi="仿宋" w:eastAsia="仿宋" w:cs="仿宋"/>
                <w:color w:val="000000"/>
                <w:sz w:val="28"/>
                <w:szCs w:val="28"/>
                <w:highlight w:val="none"/>
              </w:rPr>
              <w:t>得6分，每缺1节点扣1分；</w:t>
            </w:r>
          </w:p>
          <w:p w14:paraId="3A440F44">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对接与迁移方案（5分）：提供对接书面承诺函（1分）、标准API接口清单含字段/鉴权（2分）、数据迁移及回滚方案（2分）；</w:t>
            </w:r>
          </w:p>
          <w:p w14:paraId="6D5F9783">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团队配置（5分）：项目经理持信息系统项目管理师或PMP（2分）；承诺常驻上海现场工程师≥1人（2分）；技术负责人近3年有高校餐饮信息化业绩（合同关键页证明，1分）；</w:t>
            </w:r>
          </w:p>
          <w:p w14:paraId="161B07DB">
            <w:pPr>
              <w:pStyle w:val="7"/>
              <w:numPr>
                <w:ilvl w:val="0"/>
                <w:numId w:val="5"/>
              </w:numPr>
              <w:spacing w:beforeLines="0" w:afterLines="0"/>
              <w:ind w:firstLineChar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质量保障（4分）：提供▲项测试用例模板（1.5分）、UAT计划（1.5分）、缺陷闭环流程（1分）。</w:t>
            </w:r>
          </w:p>
        </w:tc>
      </w:tr>
      <w:tr w14:paraId="77BD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8CA3C4">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w:t>
            </w:r>
          </w:p>
        </w:tc>
        <w:tc>
          <w:tcPr>
            <w:tcW w:w="11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873F19">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售后服务</w:t>
            </w:r>
          </w:p>
        </w:tc>
        <w:tc>
          <w:tcPr>
            <w:tcW w:w="11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F2047E">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10分</w:t>
            </w:r>
          </w:p>
        </w:tc>
        <w:tc>
          <w:tcPr>
            <w:tcW w:w="65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3BD5CF">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1.</w:t>
            </w:r>
            <w:r>
              <w:rPr>
                <w:rFonts w:hint="eastAsia" w:ascii="仿宋" w:hAnsi="仿宋" w:eastAsia="仿宋" w:cs="仿宋"/>
                <w:color w:val="000000"/>
                <w:sz w:val="28"/>
                <w:szCs w:val="28"/>
                <w:highlight w:val="none"/>
              </w:rPr>
              <w:t>故障响应（4分）：承诺7×24热线、2小时到校、24小时排障、应急切换方案</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需提供承诺函）</w:t>
            </w:r>
            <w:r>
              <w:rPr>
                <w:rFonts w:hint="eastAsia" w:ascii="仿宋" w:hAnsi="仿宋" w:eastAsia="仿宋" w:cs="仿宋"/>
                <w:color w:val="000000"/>
                <w:sz w:val="28"/>
                <w:szCs w:val="28"/>
                <w:highlight w:val="none"/>
              </w:rPr>
              <w:t>，四项齐全得4分，缺项按项扣分；</w:t>
            </w:r>
          </w:p>
          <w:p w14:paraId="6EA896E9">
            <w:pPr>
              <w:spacing w:beforeLines="0" w:afterLine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本地化与巡检（3分）：上海办公场所证明（1分）、至校址双通勤路线及时间截图（1分）、季度巡检计划表（1分）；</w:t>
            </w:r>
          </w:p>
          <w:p w14:paraId="1A65BA39">
            <w:pPr>
              <w:pStyle w:val="7"/>
              <w:numPr>
                <w:ilvl w:val="0"/>
                <w:numId w:val="6"/>
              </w:numPr>
              <w:spacing w:beforeLines="0" w:afterLines="0"/>
              <w:ind w:firstLineChar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培训交付（3分）：培训对象分两类（1分）、≥2场且单场≥60分钟并附大纲（1分）、交付三类文档清单与需求一致（1分）。</w:t>
            </w:r>
          </w:p>
        </w:tc>
      </w:tr>
      <w:tr w14:paraId="6F365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338593">
            <w:pPr>
              <w:spacing w:beforeLines="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7</w:t>
            </w:r>
          </w:p>
        </w:tc>
        <w:tc>
          <w:tcPr>
            <w:tcW w:w="11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691086">
            <w:pPr>
              <w:spacing w:beforeLines="0" w:afterLines="0"/>
              <w:jc w:val="center"/>
              <w:rPr>
                <w:rFonts w:hint="default" w:ascii="仿宋" w:hAnsi="仿宋" w:eastAsia="仿宋" w:cs="仿宋"/>
                <w:color w:val="auto"/>
                <w:sz w:val="28"/>
                <w:szCs w:val="28"/>
                <w:highlight w:val="yellow"/>
                <w:lang w:val="en-US"/>
              </w:rPr>
            </w:pPr>
            <w:r>
              <w:rPr>
                <w:rFonts w:hint="eastAsia" w:ascii="仿宋" w:hAnsi="仿宋" w:eastAsia="仿宋" w:cs="仿宋"/>
                <w:color w:val="auto"/>
                <w:sz w:val="28"/>
                <w:szCs w:val="28"/>
                <w:lang w:val="en-US" w:eastAsia="zh-CN"/>
              </w:rPr>
              <w:t>项目团队成员社保缴纳记录</w:t>
            </w:r>
          </w:p>
        </w:tc>
        <w:tc>
          <w:tcPr>
            <w:tcW w:w="11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E6866B">
            <w:pPr>
              <w:spacing w:beforeLines="0" w:afterLines="0"/>
              <w:jc w:val="center"/>
              <w:rPr>
                <w:rFonts w:hint="eastAsia" w:ascii="仿宋" w:hAnsi="仿宋" w:eastAsia="仿宋" w:cs="仿宋"/>
                <w:color w:val="auto"/>
                <w:sz w:val="28"/>
                <w:szCs w:val="28"/>
                <w:highlight w:val="yellow"/>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分</w:t>
            </w:r>
          </w:p>
        </w:tc>
        <w:tc>
          <w:tcPr>
            <w:tcW w:w="65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1FB45D">
            <w:pPr>
              <w:keepNext w:val="0"/>
              <w:keepLines w:val="0"/>
              <w:widowControl/>
              <w:numPr>
                <w:ilvl w:val="0"/>
                <w:numId w:val="0"/>
              </w:numPr>
              <w:suppressLineNumbers w:val="0"/>
              <w:spacing w:before="0" w:beforeAutospacing="1" w:after="0" w:afterAutospacing="1"/>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提供≥3 名符合全部资料要求（身份证、证书、近半年社保）的项目成员，得 5 分；</w:t>
            </w:r>
          </w:p>
          <w:p w14:paraId="72103BF9">
            <w:pPr>
              <w:keepNext w:val="0"/>
              <w:keepLines w:val="0"/>
              <w:widowControl/>
              <w:numPr>
                <w:ilvl w:val="0"/>
                <w:numId w:val="0"/>
              </w:numPr>
              <w:suppressLineNumbers w:val="0"/>
              <w:spacing w:before="0" w:beforeAutospacing="1" w:after="0" w:afterAutospacing="1"/>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提供 2 名符合全部资料要求的项目成员，得 3 分；</w:t>
            </w:r>
          </w:p>
          <w:p w14:paraId="3089D970">
            <w:pPr>
              <w:keepNext w:val="0"/>
              <w:keepLines w:val="0"/>
              <w:widowControl/>
              <w:numPr>
                <w:ilvl w:val="0"/>
                <w:numId w:val="0"/>
              </w:numPr>
              <w:suppressLineNumbers w:val="0"/>
              <w:spacing w:before="0" w:beforeAutospacing="1" w:after="0" w:afterAutospacing="1"/>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提供 1 名符合全部资料要求的项目成员，得 1 分；</w:t>
            </w:r>
          </w:p>
          <w:p w14:paraId="452D3679">
            <w:pPr>
              <w:pStyle w:val="3"/>
              <w:keepNext w:val="0"/>
              <w:keepLines w:val="0"/>
              <w:widowControl/>
              <w:suppressLineNumbers w:val="0"/>
              <w:ind w:right="720"/>
              <w:rPr>
                <w:rFonts w:hint="eastAsia" w:ascii="仿宋" w:hAnsi="仿宋" w:eastAsia="仿宋" w:cs="仿宋"/>
                <w:sz w:val="28"/>
                <w:szCs w:val="28"/>
              </w:rPr>
            </w:pPr>
            <w:r>
              <w:rPr>
                <w:rFonts w:hint="eastAsia" w:ascii="仿宋" w:hAnsi="仿宋" w:eastAsia="仿宋" w:cs="仿宋"/>
                <w:sz w:val="28"/>
                <w:szCs w:val="28"/>
              </w:rPr>
              <w:t>特殊说明：如评审日前近 3 个月社保证明因社保部门原因暂无法获取，可往前顺延 1 个月；公司成立不足半年，提供自成立之日起社保资料。人员资料缺任一项，该人员不计入统计。</w:t>
            </w:r>
          </w:p>
          <w:p w14:paraId="2D34A755">
            <w:pPr>
              <w:spacing w:beforeLines="0" w:afterLines="0"/>
              <w:rPr>
                <w:rFonts w:hint="eastAsia" w:ascii="仿宋" w:hAnsi="仿宋" w:eastAsia="仿宋" w:cs="仿宋"/>
                <w:color w:val="auto"/>
                <w:sz w:val="28"/>
                <w:szCs w:val="28"/>
                <w:highlight w:val="yellow"/>
                <w:lang w:val="en-US" w:eastAsia="zh-CN"/>
              </w:rPr>
            </w:pPr>
            <w:r>
              <w:rPr>
                <w:rFonts w:hint="eastAsia" w:ascii="仿宋" w:hAnsi="仿宋" w:eastAsia="仿宋" w:cs="仿宋"/>
                <w:color w:val="auto"/>
                <w:sz w:val="28"/>
                <w:szCs w:val="28"/>
                <w:highlight w:val="none"/>
                <w:lang w:val="en-US" w:eastAsia="zh-CN"/>
              </w:rPr>
              <w:t>注：</w:t>
            </w:r>
            <w:r>
              <w:rPr>
                <w:rFonts w:hint="eastAsia" w:ascii="仿宋" w:hAnsi="仿宋" w:eastAsia="仿宋" w:cs="仿宋"/>
                <w:sz w:val="28"/>
                <w:szCs w:val="28"/>
              </w:rPr>
              <w:t>社保证明须能体现投标单位名称、人员姓名、缴费时段；截图需加盖投标人公章，否则视为无效材料。</w:t>
            </w:r>
          </w:p>
        </w:tc>
      </w:tr>
      <w:tr w14:paraId="6323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single" w:color="auto" w:sz="4" w:space="0"/>
              <w:left w:val="single" w:color="auto" w:sz="4" w:space="0"/>
              <w:bottom w:val="single" w:color="auto" w:sz="4" w:space="0"/>
              <w:right w:val="single" w:color="auto" w:sz="4" w:space="0"/>
              <w:tl2br w:val="nil"/>
              <w:tr2bl w:val="nil"/>
            </w:tcBorders>
            <w:shd w:val="clear" w:color="auto" w:fill="F2F2F2"/>
            <w:noWrap w:val="0"/>
            <w:vAlign w:val="top"/>
          </w:tcPr>
          <w:p w14:paraId="424B9EAA">
            <w:pPr>
              <w:spacing w:beforeLines="0" w:afterLines="0"/>
              <w:jc w:val="center"/>
              <w:rPr>
                <w:rFonts w:hint="eastAsia" w:ascii="仿宋" w:hAnsi="仿宋" w:eastAsia="仿宋" w:cs="仿宋"/>
                <w:color w:val="000000"/>
                <w:sz w:val="28"/>
                <w:szCs w:val="28"/>
                <w:highlight w:val="none"/>
              </w:rPr>
            </w:pPr>
          </w:p>
        </w:tc>
        <w:tc>
          <w:tcPr>
            <w:tcW w:w="1151" w:type="dxa"/>
            <w:tcBorders>
              <w:top w:val="single" w:color="auto" w:sz="4" w:space="0"/>
              <w:left w:val="single" w:color="auto" w:sz="4" w:space="0"/>
              <w:bottom w:val="single" w:color="auto" w:sz="4" w:space="0"/>
              <w:right w:val="single" w:color="auto" w:sz="4" w:space="0"/>
              <w:tl2br w:val="nil"/>
              <w:tr2bl w:val="nil"/>
            </w:tcBorders>
            <w:shd w:val="clear" w:color="auto" w:fill="F2F2F2"/>
            <w:noWrap w:val="0"/>
            <w:vAlign w:val="center"/>
          </w:tcPr>
          <w:p w14:paraId="0D49DF50">
            <w:pPr>
              <w:spacing w:before="20" w:beforeLines="0" w:after="2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合计</w:t>
            </w:r>
          </w:p>
        </w:tc>
        <w:tc>
          <w:tcPr>
            <w:tcW w:w="1149" w:type="dxa"/>
            <w:tcBorders>
              <w:top w:val="single" w:color="auto" w:sz="4" w:space="0"/>
              <w:left w:val="single" w:color="auto" w:sz="4" w:space="0"/>
              <w:bottom w:val="single" w:color="auto" w:sz="4" w:space="0"/>
              <w:right w:val="single" w:color="auto" w:sz="4" w:space="0"/>
              <w:tl2br w:val="nil"/>
              <w:tr2bl w:val="nil"/>
            </w:tcBorders>
            <w:shd w:val="clear" w:color="auto" w:fill="F2F2F2"/>
            <w:noWrap w:val="0"/>
            <w:vAlign w:val="center"/>
          </w:tcPr>
          <w:p w14:paraId="1BDC99A1">
            <w:pPr>
              <w:spacing w:before="20" w:beforeLines="0" w:after="2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100分</w:t>
            </w:r>
          </w:p>
        </w:tc>
        <w:tc>
          <w:tcPr>
            <w:tcW w:w="6538" w:type="dxa"/>
            <w:tcBorders>
              <w:top w:val="single" w:color="auto" w:sz="4" w:space="0"/>
              <w:left w:val="single" w:color="auto" w:sz="4" w:space="0"/>
              <w:bottom w:val="single" w:color="auto" w:sz="4" w:space="0"/>
              <w:right w:val="single" w:color="auto" w:sz="4" w:space="0"/>
              <w:tl2br w:val="nil"/>
              <w:tr2bl w:val="nil"/>
            </w:tcBorders>
            <w:shd w:val="clear" w:color="auto" w:fill="F2F2F2"/>
            <w:noWrap w:val="0"/>
            <w:vAlign w:val="center"/>
          </w:tcPr>
          <w:p w14:paraId="3FA39C16">
            <w:pPr>
              <w:spacing w:before="20" w:beforeLines="0" w:after="20" w:afterLines="0"/>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各评审因素满分合计为100分。</w:t>
            </w:r>
          </w:p>
        </w:tc>
      </w:tr>
    </w:tbl>
    <w:p w14:paraId="0BF0AC2A">
      <w:pPr>
        <w:rPr>
          <w:highlight w:val="none"/>
        </w:rPr>
      </w:pP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45A656"/>
    <w:multiLevelType w:val="singleLevel"/>
    <w:tmpl w:val="1145A656"/>
    <w:lvl w:ilvl="0" w:tentative="0">
      <w:start w:val="1"/>
      <w:numFmt w:val="chineseCounting"/>
      <w:suff w:val="nothing"/>
      <w:lvlText w:val="%1、"/>
      <w:lvlJc w:val="left"/>
      <w:rPr>
        <w:rFonts w:hint="eastAsia"/>
      </w:rPr>
    </w:lvl>
  </w:abstractNum>
  <w:abstractNum w:abstractNumId="1">
    <w:nsid w:val="21D63C50"/>
    <w:multiLevelType w:val="multilevel"/>
    <w:tmpl w:val="21D63C50"/>
    <w:lvl w:ilvl="0" w:tentative="0">
      <w:start w:val="1"/>
      <w:numFmt w:val="decimal"/>
      <w:lvlText w:val="%1)"/>
      <w:lvlJc w:val="left"/>
      <w:pPr>
        <w:ind w:left="720" w:hanging="440"/>
      </w:pPr>
      <w:rPr>
        <w:rFonts w:hint="default"/>
        <w:u w:val="none" w:color="auto"/>
      </w:rPr>
    </w:lvl>
    <w:lvl w:ilvl="1" w:tentative="0">
      <w:start w:val="1"/>
      <w:numFmt w:val="lowerLetter"/>
      <w:lvlText w:val="%2)"/>
      <w:lvlJc w:val="left"/>
      <w:pPr>
        <w:ind w:left="1160" w:hanging="440"/>
      </w:pPr>
      <w:rPr>
        <w:rFonts w:hint="default"/>
        <w:u w:val="none" w:color="auto"/>
      </w:rPr>
    </w:lvl>
    <w:lvl w:ilvl="2" w:tentative="0">
      <w:start w:val="1"/>
      <w:numFmt w:val="lowerRoman"/>
      <w:lvlText w:val="%3."/>
      <w:lvlJc w:val="right"/>
      <w:pPr>
        <w:ind w:left="1600" w:hanging="440"/>
      </w:pPr>
      <w:rPr>
        <w:rFonts w:hint="default"/>
        <w:u w:val="none" w:color="auto"/>
      </w:rPr>
    </w:lvl>
    <w:lvl w:ilvl="3" w:tentative="0">
      <w:start w:val="1"/>
      <w:numFmt w:val="decimal"/>
      <w:lvlText w:val="%4."/>
      <w:lvlJc w:val="left"/>
      <w:pPr>
        <w:ind w:left="2040" w:hanging="440"/>
      </w:pPr>
      <w:rPr>
        <w:rFonts w:hint="default"/>
        <w:u w:val="none" w:color="auto"/>
      </w:rPr>
    </w:lvl>
    <w:lvl w:ilvl="4" w:tentative="0">
      <w:start w:val="1"/>
      <w:numFmt w:val="lowerLetter"/>
      <w:lvlText w:val="%5)"/>
      <w:lvlJc w:val="left"/>
      <w:pPr>
        <w:ind w:left="2480" w:hanging="440"/>
      </w:pPr>
      <w:rPr>
        <w:rFonts w:hint="default"/>
        <w:u w:val="none" w:color="auto"/>
      </w:rPr>
    </w:lvl>
    <w:lvl w:ilvl="5" w:tentative="0">
      <w:start w:val="1"/>
      <w:numFmt w:val="lowerRoman"/>
      <w:lvlText w:val="%6."/>
      <w:lvlJc w:val="right"/>
      <w:pPr>
        <w:ind w:left="2920" w:hanging="440"/>
      </w:pPr>
      <w:rPr>
        <w:rFonts w:hint="default"/>
        <w:u w:val="none" w:color="auto"/>
      </w:rPr>
    </w:lvl>
    <w:lvl w:ilvl="6" w:tentative="0">
      <w:start w:val="1"/>
      <w:numFmt w:val="decimal"/>
      <w:lvlText w:val="%7."/>
      <w:lvlJc w:val="left"/>
      <w:pPr>
        <w:ind w:left="3360" w:hanging="440"/>
      </w:pPr>
      <w:rPr>
        <w:rFonts w:hint="default"/>
        <w:u w:val="none" w:color="auto"/>
      </w:rPr>
    </w:lvl>
    <w:lvl w:ilvl="7" w:tentative="0">
      <w:start w:val="1"/>
      <w:numFmt w:val="lowerLetter"/>
      <w:lvlText w:val="%8)"/>
      <w:lvlJc w:val="left"/>
      <w:pPr>
        <w:ind w:left="3800" w:hanging="440"/>
      </w:pPr>
      <w:rPr>
        <w:rFonts w:hint="default"/>
        <w:u w:val="none" w:color="auto"/>
      </w:rPr>
    </w:lvl>
    <w:lvl w:ilvl="8" w:tentative="0">
      <w:start w:val="1"/>
      <w:numFmt w:val="lowerRoman"/>
      <w:lvlText w:val="%9."/>
      <w:lvlJc w:val="right"/>
      <w:pPr>
        <w:ind w:left="4240" w:hanging="440"/>
      </w:pPr>
      <w:rPr>
        <w:rFonts w:hint="default"/>
        <w:u w:val="none" w:color="auto"/>
      </w:rPr>
    </w:lvl>
  </w:abstractNum>
  <w:abstractNum w:abstractNumId="2">
    <w:nsid w:val="4EEA252F"/>
    <w:multiLevelType w:val="multilevel"/>
    <w:tmpl w:val="4EEA252F"/>
    <w:lvl w:ilvl="0" w:tentative="0">
      <w:start w:val="1"/>
      <w:numFmt w:val="decimal"/>
      <w:isLgl/>
      <w:lvlText w:val="%1"/>
      <w:lvlJc w:val="left"/>
      <w:pPr>
        <w:ind w:left="425" w:hanging="425"/>
      </w:pPr>
      <w:rPr>
        <w:rFonts w:hint="eastAsia"/>
      </w:rPr>
    </w:lvl>
    <w:lvl w:ilvl="1" w:tentative="0">
      <w:start w:val="1"/>
      <w:numFmt w:val="decimal"/>
      <w:pStyle w:val="2"/>
      <w:isLgl/>
      <w:lvlText w:val="%1.%2"/>
      <w:lvlJc w:val="left"/>
      <w:pPr>
        <w:ind w:left="567" w:hanging="567"/>
      </w:pPr>
      <w:rPr>
        <w:rFonts w:hint="eastAsia" w:ascii="宋体" w:hAnsi="宋体" w:eastAsia="宋体"/>
        <w:b w:val="0"/>
        <w:i w:val="0"/>
        <w:sz w:val="28"/>
      </w:rPr>
    </w:lvl>
    <w:lvl w:ilvl="2" w:tentative="0">
      <w:start w:val="1"/>
      <w:numFmt w:val="decimal"/>
      <w:lvlText w:val="%1.%2.%3"/>
      <w:lvlJc w:val="left"/>
      <w:pPr>
        <w:ind w:left="1418" w:hanging="567"/>
      </w:pPr>
      <w:rPr>
        <w:rFonts w:hint="eastAsia" w:ascii="宋体" w:hAnsi="宋体" w:eastAsia="宋体"/>
        <w:b w:val="0"/>
        <w:i w:val="0"/>
        <w:sz w:val="24"/>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593F0903"/>
    <w:multiLevelType w:val="multilevel"/>
    <w:tmpl w:val="593F0903"/>
    <w:lvl w:ilvl="0" w:tentative="0">
      <w:start w:val="1"/>
      <w:numFmt w:val="decimal"/>
      <w:lvlText w:val="%1)"/>
      <w:lvlJc w:val="left"/>
      <w:pPr>
        <w:ind w:left="440" w:hanging="440"/>
      </w:pPr>
      <w:rPr>
        <w:rFonts w:hint="default"/>
        <w:u w:val="none" w:color="auto"/>
      </w:rPr>
    </w:lvl>
    <w:lvl w:ilvl="1" w:tentative="0">
      <w:start w:val="1"/>
      <w:numFmt w:val="lowerLetter"/>
      <w:lvlText w:val="%2)"/>
      <w:lvlJc w:val="left"/>
      <w:pPr>
        <w:ind w:left="880" w:hanging="440"/>
      </w:pPr>
      <w:rPr>
        <w:rFonts w:hint="default"/>
        <w:u w:val="none" w:color="auto"/>
      </w:rPr>
    </w:lvl>
    <w:lvl w:ilvl="2" w:tentative="0">
      <w:start w:val="1"/>
      <w:numFmt w:val="lowerRoman"/>
      <w:lvlText w:val="%3."/>
      <w:lvlJc w:val="right"/>
      <w:pPr>
        <w:ind w:left="1320" w:hanging="440"/>
      </w:pPr>
      <w:rPr>
        <w:rFonts w:hint="default"/>
        <w:u w:val="none" w:color="auto"/>
      </w:rPr>
    </w:lvl>
    <w:lvl w:ilvl="3" w:tentative="0">
      <w:start w:val="1"/>
      <w:numFmt w:val="decimal"/>
      <w:lvlText w:val="%4."/>
      <w:lvlJc w:val="left"/>
      <w:pPr>
        <w:ind w:left="1760" w:hanging="440"/>
      </w:pPr>
      <w:rPr>
        <w:rFonts w:hint="default"/>
        <w:u w:val="none" w:color="auto"/>
      </w:rPr>
    </w:lvl>
    <w:lvl w:ilvl="4" w:tentative="0">
      <w:start w:val="1"/>
      <w:numFmt w:val="lowerLetter"/>
      <w:lvlText w:val="%5)"/>
      <w:lvlJc w:val="left"/>
      <w:pPr>
        <w:ind w:left="2200" w:hanging="440"/>
      </w:pPr>
      <w:rPr>
        <w:rFonts w:hint="default"/>
        <w:u w:val="none" w:color="auto"/>
      </w:rPr>
    </w:lvl>
    <w:lvl w:ilvl="5" w:tentative="0">
      <w:start w:val="1"/>
      <w:numFmt w:val="lowerRoman"/>
      <w:lvlText w:val="%6."/>
      <w:lvlJc w:val="right"/>
      <w:pPr>
        <w:ind w:left="2640" w:hanging="440"/>
      </w:pPr>
      <w:rPr>
        <w:rFonts w:hint="default"/>
        <w:u w:val="none" w:color="auto"/>
      </w:rPr>
    </w:lvl>
    <w:lvl w:ilvl="6" w:tentative="0">
      <w:start w:val="1"/>
      <w:numFmt w:val="decimal"/>
      <w:lvlText w:val="%7."/>
      <w:lvlJc w:val="left"/>
      <w:pPr>
        <w:ind w:left="3080" w:hanging="440"/>
      </w:pPr>
      <w:rPr>
        <w:rFonts w:hint="default"/>
        <w:u w:val="none" w:color="auto"/>
      </w:rPr>
    </w:lvl>
    <w:lvl w:ilvl="7" w:tentative="0">
      <w:start w:val="1"/>
      <w:numFmt w:val="lowerLetter"/>
      <w:lvlText w:val="%8)"/>
      <w:lvlJc w:val="left"/>
      <w:pPr>
        <w:ind w:left="3520" w:hanging="440"/>
      </w:pPr>
      <w:rPr>
        <w:rFonts w:hint="default"/>
        <w:u w:val="none" w:color="auto"/>
      </w:rPr>
    </w:lvl>
    <w:lvl w:ilvl="8" w:tentative="0">
      <w:start w:val="1"/>
      <w:numFmt w:val="lowerRoman"/>
      <w:lvlText w:val="%9."/>
      <w:lvlJc w:val="right"/>
      <w:pPr>
        <w:ind w:left="3960" w:hanging="440"/>
      </w:pPr>
      <w:rPr>
        <w:rFonts w:hint="default"/>
        <w:u w:val="none" w:color="auto"/>
      </w:rPr>
    </w:lvl>
  </w:abstractNum>
  <w:abstractNum w:abstractNumId="4">
    <w:nsid w:val="62988413"/>
    <w:multiLevelType w:val="singleLevel"/>
    <w:tmpl w:val="62988413"/>
    <w:lvl w:ilvl="0" w:tentative="0">
      <w:start w:val="1"/>
      <w:numFmt w:val="decimal"/>
      <w:suff w:val="nothing"/>
      <w:lvlText w:val="%1、"/>
      <w:lvlJc w:val="left"/>
    </w:lvl>
  </w:abstractNum>
  <w:abstractNum w:abstractNumId="5">
    <w:nsid w:val="6959CEC7"/>
    <w:multiLevelType w:val="singleLevel"/>
    <w:tmpl w:val="6959CEC7"/>
    <w:lvl w:ilvl="0" w:tentative="0">
      <w:start w:val="1"/>
      <w:numFmt w:val="chineseCounting"/>
      <w:suff w:val="nothing"/>
      <w:lvlText w:val="%1、"/>
      <w:lvlJc w:val="left"/>
      <w:rPr>
        <w:rFonts w:hint="eastAsia"/>
      </w:rPr>
    </w:lvl>
  </w:abstractNum>
  <w:num w:numId="1">
    <w:abstractNumId w:val="2"/>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309534D"/>
    <w:rsid w:val="11C51DF9"/>
    <w:rsid w:val="259F505E"/>
    <w:rsid w:val="2FD31304"/>
    <w:rsid w:val="333E45BB"/>
    <w:rsid w:val="3DFF0A12"/>
    <w:rsid w:val="52461D2A"/>
    <w:rsid w:val="5F4A27E1"/>
    <w:rsid w:val="6B446C0B"/>
    <w:rsid w:val="715D1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numPr>
        <w:ilvl w:val="1"/>
        <w:numId w:val="1"/>
      </w:numPr>
      <w:spacing w:before="62" w:beforeLines="20" w:after="62" w:afterLines="20" w:line="360" w:lineRule="auto"/>
      <w:outlineLvl w:val="1"/>
    </w:pPr>
    <w:rPr>
      <w:rFonts w:ascii="Arial" w:hAnsi="Arial"/>
      <w:sz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nhideWhenUsed/>
    <w:qFormat/>
    <w:uiPriority w:val="0"/>
    <w:pPr>
      <w:spacing w:beforeLines="0" w:afterLines="0"/>
    </w:pPr>
    <w:rPr>
      <w:rFonts w:hint="default"/>
      <w:sz w:val="24"/>
      <w:szCs w:val="24"/>
    </w:rPr>
  </w:style>
  <w:style w:type="character" w:styleId="6">
    <w:name w:val="Strong"/>
    <w:basedOn w:val="5"/>
    <w:qFormat/>
    <w:uiPriority w:val="0"/>
    <w:rPr>
      <w:b/>
    </w:rPr>
  </w:style>
  <w:style w:type="paragraph" w:styleId="7">
    <w:name w:val="List Paragraph"/>
    <w:basedOn w:val="1"/>
    <w:unhideWhenUsed/>
    <w:qFormat/>
    <w:uiPriority w:val="99"/>
    <w:pPr>
      <w:spacing w:beforeLines="0" w:afterLines="0"/>
      <w:ind w:firstLine="420" w:firstLineChars="200"/>
    </w:pPr>
    <w:rPr>
      <w:rFonts w:hint="default"/>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4123</Words>
  <Characters>4278</Characters>
  <Lines>0</Lines>
  <Paragraphs>0</Paragraphs>
  <TotalTime>155</TotalTime>
  <ScaleCrop>false</ScaleCrop>
  <LinksUpToDate>false</LinksUpToDate>
  <CharactersWithSpaces>4300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2026-10-15T07:18:00Z</dcterms:created>
  <dc:creator>任裕麒</dc:creator>
  <cp:lastModifiedBy>吴珉玥</cp:lastModifiedBy>
  <dcterms:modified xsi:type="dcterms:W3CDTF">2026-10-27T00:44:34Z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A1356F0BC52748F8AD79D95BA62BCA2E_13</vt:lpwstr>
  </property>
  <property fmtid="{D5CDD505-2E9C-101B-9397-08002B2CF9AE}" pid="4" name="KSOTemplateDocerSaveRecord">
    <vt:lpwstr>eyJoZGlkIjoiMDM1YzcxZjNjZDJkN2FkM2JmZGJjZTc2MzE0MjUzOTkiLCJ1c2VySWQiOiIxMTUxMTMwMzQwIn0=</vt:lpwstr>
  </property>
</Properties>
</file>