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DDE98">
      <w:pPr>
        <w:keepNext w:val="0"/>
        <w:keepLines w:val="0"/>
        <w:pageBreakBefore w:val="0"/>
        <w:widowControl w:val="0"/>
        <w:kinsoku/>
        <w:wordWrap/>
        <w:overflowPunct/>
        <w:topLinePunct w:val="0"/>
        <w:autoSpaceDE/>
        <w:autoSpaceDN/>
        <w:bidi w:val="0"/>
        <w:adjustRightInd/>
        <w:snapToGrid/>
        <w:spacing w:beforeAutospacing="0" w:afterAutospacing="0" w:line="70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上海外国语大学研究生招生</w:t>
      </w:r>
      <w:r>
        <w:rPr>
          <w:rFonts w:hint="eastAsia" w:ascii="方正小标宋简体" w:hAnsi="方正小标宋简体" w:eastAsia="方正小标宋简体" w:cs="方正小标宋简体"/>
          <w:b w:val="0"/>
          <w:bCs w:val="0"/>
          <w:sz w:val="44"/>
          <w:szCs w:val="44"/>
          <w:lang w:val="en-US" w:eastAsia="zh-CN"/>
        </w:rPr>
        <w:t>公众号2026年</w:t>
      </w:r>
      <w:bookmarkStart w:id="0" w:name="_GoBack"/>
      <w:bookmarkEnd w:id="0"/>
      <w:r>
        <w:rPr>
          <w:rFonts w:hint="eastAsia" w:ascii="方正小标宋简体" w:hAnsi="方正小标宋简体" w:eastAsia="方正小标宋简体" w:cs="方正小标宋简体"/>
          <w:b w:val="0"/>
          <w:bCs w:val="0"/>
          <w:sz w:val="44"/>
          <w:szCs w:val="44"/>
          <w:lang w:val="en-US" w:eastAsia="zh-CN"/>
        </w:rPr>
        <w:t>运营</w:t>
      </w:r>
    </w:p>
    <w:p w14:paraId="6EF68655">
      <w:pPr>
        <w:keepNext w:val="0"/>
        <w:keepLines w:val="0"/>
        <w:pageBreakBefore w:val="0"/>
        <w:widowControl w:val="0"/>
        <w:kinsoku/>
        <w:wordWrap/>
        <w:overflowPunct/>
        <w:topLinePunct w:val="0"/>
        <w:autoSpaceDE/>
        <w:autoSpaceDN/>
        <w:bidi w:val="0"/>
        <w:adjustRightInd/>
        <w:snapToGrid/>
        <w:spacing w:beforeAutospacing="0" w:after="313" w:afterLines="100" w:afterAutospacing="0" w:line="700" w:lineRule="exact"/>
        <w:ind w:left="0" w:leftChars="0" w:firstLine="0" w:firstLineChars="0"/>
        <w:jc w:val="center"/>
        <w:textAlignment w:val="auto"/>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bCs w:val="0"/>
          <w:sz w:val="44"/>
          <w:szCs w:val="44"/>
        </w:rPr>
        <w:t>服务项目</w:t>
      </w:r>
      <w:r>
        <w:rPr>
          <w:rFonts w:hint="eastAsia" w:ascii="方正小标宋简体" w:hAnsi="方正小标宋简体" w:eastAsia="方正小标宋简体" w:cs="方正小标宋简体"/>
          <w:b w:val="0"/>
          <w:sz w:val="44"/>
          <w:szCs w:val="44"/>
        </w:rPr>
        <w:t>需求方案</w:t>
      </w:r>
    </w:p>
    <w:p w14:paraId="6A553DBB">
      <w:pPr>
        <w:pStyle w:val="21"/>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left="420" w:leftChars="0" w:hanging="420" w:firstLineChars="0"/>
        <w:jc w:val="left"/>
        <w:textAlignment w:val="auto"/>
        <w:rPr>
          <w:rFonts w:hint="eastAsia" w:ascii="Times New Roman" w:hAnsi="Times New Roman" w:eastAsia="仿宋" w:cs="仿宋"/>
          <w:b/>
          <w:bCs/>
          <w:sz w:val="24"/>
          <w:szCs w:val="24"/>
        </w:rPr>
      </w:pPr>
      <w:r>
        <w:rPr>
          <w:rFonts w:hint="eastAsia" w:ascii="Times New Roman" w:hAnsi="Times New Roman" w:eastAsia="仿宋" w:cs="仿宋"/>
          <w:b/>
          <w:bCs/>
          <w:sz w:val="24"/>
          <w:szCs w:val="24"/>
        </w:rPr>
        <w:t>总体要求</w:t>
      </w:r>
    </w:p>
    <w:p w14:paraId="494346C4">
      <w:pPr>
        <w:pStyle w:val="21"/>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leftChars="0" w:firstLine="482" w:firstLineChars="200"/>
        <w:jc w:val="both"/>
        <w:textAlignment w:val="auto"/>
        <w:rPr>
          <w:rFonts w:hint="eastAsia" w:ascii="Times New Roman" w:hAnsi="Times New Roman" w:eastAsia="仿宋" w:cs="仿宋"/>
          <w:b/>
          <w:bCs/>
          <w:sz w:val="24"/>
          <w:szCs w:val="24"/>
        </w:rPr>
      </w:pPr>
      <w:r>
        <w:rPr>
          <w:rFonts w:hint="eastAsia" w:ascii="Times New Roman" w:hAnsi="Times New Roman" w:eastAsia="仿宋" w:cs="仿宋"/>
          <w:b/>
          <w:bCs/>
          <w:sz w:val="24"/>
          <w:szCs w:val="24"/>
        </w:rPr>
        <w:t>项目总金额</w:t>
      </w:r>
      <w:r>
        <w:rPr>
          <w:rFonts w:hint="eastAsia" w:ascii="Times New Roman" w:hAnsi="Times New Roman" w:eastAsia="仿宋" w:cs="仿宋"/>
          <w:b/>
          <w:bCs/>
          <w:sz w:val="24"/>
          <w:szCs w:val="24"/>
          <w:lang w:eastAsia="zh-CN"/>
        </w:rPr>
        <w:t>：</w:t>
      </w:r>
      <w:r>
        <w:rPr>
          <w:rFonts w:hint="eastAsia" w:ascii="Times New Roman" w:hAnsi="Times New Roman" w:eastAsia="仿宋" w:cs="仿宋"/>
          <w:b/>
          <w:bCs/>
          <w:sz w:val="24"/>
          <w:szCs w:val="24"/>
          <w:lang w:val="en-US" w:eastAsia="zh-CN"/>
        </w:rPr>
        <w:t>9.2</w:t>
      </w:r>
      <w:r>
        <w:rPr>
          <w:rFonts w:hint="eastAsia" w:ascii="Times New Roman" w:hAnsi="Times New Roman" w:eastAsia="仿宋" w:cs="仿宋"/>
          <w:b/>
          <w:bCs/>
          <w:sz w:val="24"/>
          <w:szCs w:val="24"/>
          <w:lang w:val="en-US"/>
        </w:rPr>
        <w:t>万元</w:t>
      </w:r>
      <w:r>
        <w:rPr>
          <w:rFonts w:hint="eastAsia" w:ascii="Times New Roman" w:hAnsi="Times New Roman" w:eastAsia="仿宋" w:cs="仿宋"/>
          <w:b/>
          <w:bCs/>
          <w:sz w:val="24"/>
          <w:szCs w:val="24"/>
          <w:lang w:val="en-US" w:eastAsia="zh-CN"/>
        </w:rPr>
        <w:t>/年</w:t>
      </w:r>
    </w:p>
    <w:p w14:paraId="2C5D5B19">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rPr>
      </w:pPr>
      <w:r>
        <w:rPr>
          <w:rFonts w:hint="eastAsia" w:ascii="Times New Roman" w:hAnsi="Times New Roman" w:eastAsia="仿宋" w:cs="仿宋"/>
          <w:i w:val="0"/>
          <w:iCs w:val="0"/>
          <w:caps w:val="0"/>
          <w:color w:val="0F1115"/>
          <w:spacing w:val="0"/>
          <w:sz w:val="24"/>
          <w:szCs w:val="24"/>
          <w:shd w:val="clear" w:fill="FFFFFF"/>
        </w:rPr>
        <w:t>本项目为</w:t>
      </w:r>
      <w:r>
        <w:rPr>
          <w:rFonts w:hint="eastAsia" w:ascii="Times New Roman" w:hAnsi="Times New Roman" w:eastAsia="仿宋" w:cs="仿宋"/>
          <w:i w:val="0"/>
          <w:iCs w:val="0"/>
          <w:caps w:val="0"/>
          <w:color w:val="0F1115"/>
          <w:spacing w:val="0"/>
          <w:sz w:val="24"/>
          <w:szCs w:val="24"/>
          <w:shd w:val="clear" w:fill="FFFFFF"/>
          <w:lang w:val="en-US" w:eastAsia="zh-CN"/>
        </w:rPr>
        <w:t>上海外国语大学研究生院</w:t>
      </w:r>
      <w:r>
        <w:rPr>
          <w:rFonts w:hint="eastAsia" w:ascii="Times New Roman" w:hAnsi="Times New Roman" w:eastAsia="仿宋" w:cs="仿宋"/>
          <w:b w:val="0"/>
          <w:bCs w:val="0"/>
          <w:i w:val="0"/>
          <w:iCs w:val="0"/>
          <w:caps w:val="0"/>
          <w:color w:val="0F1115"/>
          <w:spacing w:val="0"/>
          <w:sz w:val="24"/>
          <w:szCs w:val="24"/>
          <w:shd w:val="clear" w:fill="FFFFFF"/>
        </w:rPr>
        <w:t>招生办公室</w:t>
      </w:r>
      <w:r>
        <w:rPr>
          <w:rFonts w:hint="eastAsia" w:ascii="Times New Roman" w:hAnsi="Times New Roman" w:eastAsia="仿宋" w:cs="仿宋"/>
          <w:b w:val="0"/>
          <w:bCs w:val="0"/>
          <w:i w:val="0"/>
          <w:iCs w:val="0"/>
          <w:caps w:val="0"/>
          <w:color w:val="0F1115"/>
          <w:spacing w:val="0"/>
          <w:sz w:val="24"/>
          <w:szCs w:val="24"/>
          <w:shd w:val="clear" w:fill="FFFFFF"/>
          <w:lang w:eastAsia="zh-CN"/>
        </w:rPr>
        <w:t>（</w:t>
      </w:r>
      <w:r>
        <w:rPr>
          <w:rFonts w:hint="eastAsia" w:ascii="Times New Roman" w:hAnsi="Times New Roman" w:eastAsia="仿宋" w:cs="仿宋"/>
          <w:b w:val="0"/>
          <w:bCs w:val="0"/>
          <w:i w:val="0"/>
          <w:iCs w:val="0"/>
          <w:caps w:val="0"/>
          <w:color w:val="0F1115"/>
          <w:spacing w:val="0"/>
          <w:sz w:val="24"/>
          <w:szCs w:val="24"/>
          <w:shd w:val="clear" w:fill="FFFFFF"/>
          <w:lang w:val="en-US" w:eastAsia="zh-CN"/>
        </w:rPr>
        <w:t>简称“研招办”</w:t>
      </w:r>
      <w:r>
        <w:rPr>
          <w:rFonts w:hint="eastAsia" w:ascii="Times New Roman" w:hAnsi="Times New Roman" w:eastAsia="仿宋" w:cs="仿宋"/>
          <w:b w:val="0"/>
          <w:bCs w:val="0"/>
          <w:i w:val="0"/>
          <w:iCs w:val="0"/>
          <w:caps w:val="0"/>
          <w:color w:val="0F1115"/>
          <w:spacing w:val="0"/>
          <w:sz w:val="24"/>
          <w:szCs w:val="24"/>
          <w:shd w:val="clear" w:fill="FFFFFF"/>
          <w:lang w:eastAsia="zh-CN"/>
        </w:rPr>
        <w:t>）</w:t>
      </w:r>
      <w:r>
        <w:rPr>
          <w:rFonts w:hint="eastAsia" w:ascii="Times New Roman" w:hAnsi="Times New Roman" w:eastAsia="仿宋" w:cs="仿宋"/>
          <w:b w:val="0"/>
          <w:bCs w:val="0"/>
          <w:i w:val="0"/>
          <w:iCs w:val="0"/>
          <w:caps w:val="0"/>
          <w:color w:val="0F1115"/>
          <w:spacing w:val="0"/>
          <w:sz w:val="24"/>
          <w:szCs w:val="24"/>
          <w:shd w:val="clear" w:fill="FFFFFF"/>
        </w:rPr>
        <w:t>微信公众号</w:t>
      </w:r>
      <w:r>
        <w:rPr>
          <w:rFonts w:hint="eastAsia" w:ascii="Times New Roman" w:hAnsi="Times New Roman" w:eastAsia="仿宋" w:cs="仿宋"/>
          <w:b w:val="0"/>
          <w:bCs w:val="0"/>
          <w:i w:val="0"/>
          <w:iCs w:val="0"/>
          <w:caps w:val="0"/>
          <w:color w:val="0F1115"/>
          <w:spacing w:val="0"/>
          <w:sz w:val="24"/>
          <w:szCs w:val="24"/>
          <w:shd w:val="clear" w:fill="FFFFFF"/>
          <w:lang w:val="en-US" w:eastAsia="zh-CN"/>
        </w:rPr>
        <w:t>研究生招生</w:t>
      </w:r>
      <w:r>
        <w:rPr>
          <w:rFonts w:hint="eastAsia" w:ascii="Times New Roman" w:hAnsi="Times New Roman" w:eastAsia="仿宋" w:cs="仿宋"/>
          <w:b w:val="0"/>
          <w:bCs w:val="0"/>
          <w:i w:val="0"/>
          <w:iCs w:val="0"/>
          <w:caps w:val="0"/>
          <w:color w:val="0F1115"/>
          <w:spacing w:val="0"/>
          <w:sz w:val="24"/>
          <w:szCs w:val="24"/>
          <w:shd w:val="clear" w:fill="FFFFFF"/>
        </w:rPr>
        <w:t>内容策划与排版设计服务采购项目，</w:t>
      </w:r>
      <w:r>
        <w:rPr>
          <w:rFonts w:hint="eastAsia" w:ascii="Times New Roman" w:hAnsi="Times New Roman" w:eastAsia="仿宋" w:cs="仿宋"/>
          <w:i w:val="0"/>
          <w:iCs w:val="0"/>
          <w:caps w:val="0"/>
          <w:color w:val="0F1115"/>
          <w:spacing w:val="0"/>
          <w:sz w:val="24"/>
          <w:szCs w:val="24"/>
          <w:shd w:val="clear" w:fill="FFFFFF"/>
        </w:rPr>
        <w:t>属于服务外包类采购，拟通过</w:t>
      </w:r>
      <w:r>
        <w:rPr>
          <w:rFonts w:hint="eastAsia" w:ascii="Times New Roman" w:hAnsi="Times New Roman" w:eastAsia="仿宋" w:cs="仿宋"/>
          <w:b w:val="0"/>
          <w:bCs w:val="0"/>
          <w:i w:val="0"/>
          <w:iCs w:val="0"/>
          <w:caps w:val="0"/>
          <w:color w:val="0F1115"/>
          <w:spacing w:val="0"/>
          <w:sz w:val="24"/>
          <w:szCs w:val="24"/>
          <w:highlight w:val="none"/>
          <w:u w:val="none"/>
          <w:shd w:val="clear" w:fill="FFFFFF"/>
          <w:lang w:val="en-US" w:eastAsia="zh-CN"/>
        </w:rPr>
        <w:t>比选</w:t>
      </w:r>
      <w:r>
        <w:rPr>
          <w:rFonts w:hint="eastAsia" w:ascii="Times New Roman" w:hAnsi="Times New Roman" w:eastAsia="仿宋" w:cs="仿宋"/>
          <w:b w:val="0"/>
          <w:bCs w:val="0"/>
          <w:i w:val="0"/>
          <w:iCs w:val="0"/>
          <w:caps w:val="0"/>
          <w:color w:val="0F1115"/>
          <w:spacing w:val="0"/>
          <w:sz w:val="24"/>
          <w:szCs w:val="24"/>
          <w:highlight w:val="none"/>
          <w:u w:val="none"/>
          <w:shd w:val="clear" w:fill="FFFFFF"/>
        </w:rPr>
        <w:t>方</w:t>
      </w:r>
      <w:r>
        <w:rPr>
          <w:rFonts w:hint="eastAsia" w:ascii="Times New Roman" w:hAnsi="Times New Roman" w:eastAsia="仿宋" w:cs="仿宋"/>
          <w:i w:val="0"/>
          <w:iCs w:val="0"/>
          <w:caps w:val="0"/>
          <w:color w:val="0F1115"/>
          <w:spacing w:val="0"/>
          <w:sz w:val="24"/>
          <w:szCs w:val="24"/>
          <w:highlight w:val="none"/>
          <w:shd w:val="clear" w:fill="FFFFFF"/>
        </w:rPr>
        <w:t>式确</w:t>
      </w:r>
      <w:r>
        <w:rPr>
          <w:rFonts w:hint="eastAsia" w:ascii="Times New Roman" w:hAnsi="Times New Roman" w:eastAsia="仿宋" w:cs="仿宋"/>
          <w:i w:val="0"/>
          <w:iCs w:val="0"/>
          <w:caps w:val="0"/>
          <w:color w:val="0F1115"/>
          <w:spacing w:val="0"/>
          <w:sz w:val="24"/>
          <w:szCs w:val="24"/>
          <w:shd w:val="clear" w:fill="FFFFFF"/>
        </w:rPr>
        <w:t>定专业新媒体服务供应商，服务周期为</w:t>
      </w:r>
      <w:r>
        <w:rPr>
          <w:rFonts w:hint="eastAsia" w:ascii="Times New Roman" w:hAnsi="Times New Roman" w:eastAsia="仿宋" w:cs="仿宋"/>
          <w:b w:val="0"/>
          <w:bCs w:val="0"/>
          <w:i w:val="0"/>
          <w:iCs w:val="0"/>
          <w:caps w:val="0"/>
          <w:color w:val="0F1115"/>
          <w:spacing w:val="0"/>
          <w:sz w:val="24"/>
          <w:szCs w:val="24"/>
          <w:shd w:val="clear" w:fill="FFFFFF"/>
        </w:rPr>
        <w:t>一年（12个月），全年预算控制在9</w:t>
      </w:r>
      <w:r>
        <w:rPr>
          <w:rFonts w:hint="eastAsia" w:ascii="Times New Roman" w:hAnsi="Times New Roman" w:eastAsia="仿宋" w:cs="仿宋"/>
          <w:b w:val="0"/>
          <w:bCs w:val="0"/>
          <w:i w:val="0"/>
          <w:iCs w:val="0"/>
          <w:caps w:val="0"/>
          <w:color w:val="0F1115"/>
          <w:spacing w:val="0"/>
          <w:sz w:val="24"/>
          <w:szCs w:val="24"/>
          <w:shd w:val="clear" w:fill="FFFFFF"/>
          <w:lang w:val="en-US" w:eastAsia="zh-CN"/>
        </w:rPr>
        <w:t>.2</w:t>
      </w:r>
      <w:r>
        <w:rPr>
          <w:rFonts w:hint="eastAsia" w:ascii="Times New Roman" w:hAnsi="Times New Roman" w:eastAsia="仿宋" w:cs="仿宋"/>
          <w:b w:val="0"/>
          <w:bCs w:val="0"/>
          <w:i w:val="0"/>
          <w:iCs w:val="0"/>
          <w:caps w:val="0"/>
          <w:color w:val="0F1115"/>
          <w:spacing w:val="0"/>
          <w:sz w:val="24"/>
          <w:szCs w:val="24"/>
          <w:shd w:val="clear" w:fill="FFFFFF"/>
        </w:rPr>
        <w:t>万元以内。</w:t>
      </w:r>
    </w:p>
    <w:p w14:paraId="680D6E5A">
      <w:pPr>
        <w:pStyle w:val="21"/>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exact"/>
        <w:ind w:left="0" w:leftChars="0" w:firstLine="482" w:firstLineChars="200"/>
        <w:jc w:val="both"/>
        <w:textAlignment w:val="auto"/>
        <w:rPr>
          <w:rFonts w:hint="eastAsia" w:ascii="Times New Roman" w:hAnsi="Times New Roman" w:eastAsia="仿宋" w:cs="仿宋"/>
          <w:b/>
          <w:bCs/>
          <w:sz w:val="24"/>
          <w:szCs w:val="24"/>
        </w:rPr>
      </w:pPr>
      <w:r>
        <w:rPr>
          <w:rFonts w:hint="eastAsia" w:ascii="Times New Roman" w:hAnsi="Times New Roman" w:eastAsia="仿宋" w:cs="仿宋"/>
          <w:b/>
          <w:bCs/>
          <w:sz w:val="24"/>
          <w:szCs w:val="24"/>
        </w:rPr>
        <w:t>项目需求</w:t>
      </w:r>
      <w:r>
        <w:rPr>
          <w:rFonts w:hint="eastAsia" w:ascii="Times New Roman" w:hAnsi="Times New Roman" w:eastAsia="仿宋" w:cs="仿宋"/>
          <w:b/>
          <w:bCs/>
          <w:sz w:val="24"/>
          <w:szCs w:val="24"/>
          <w:lang w:val="en-US" w:eastAsia="zh-CN"/>
        </w:rPr>
        <w:t>及分项预算</w:t>
      </w:r>
    </w:p>
    <w:tbl>
      <w:tblPr>
        <w:tblStyle w:val="17"/>
        <w:tblW w:w="8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21"/>
        <w:gridCol w:w="1089"/>
        <w:gridCol w:w="3533"/>
        <w:gridCol w:w="1589"/>
        <w:gridCol w:w="889"/>
      </w:tblGrid>
      <w:tr w14:paraId="651FF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7E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b/>
                <w:bCs/>
                <w:i w:val="0"/>
                <w:iCs w:val="0"/>
                <w:color w:val="000000"/>
                <w:sz w:val="24"/>
                <w:szCs w:val="24"/>
                <w:u w:val="none"/>
              </w:rPr>
            </w:pPr>
            <w:r>
              <w:rPr>
                <w:rFonts w:hint="eastAsia" w:ascii="Times New Roman" w:hAnsi="Times New Roman" w:eastAsia="仿宋" w:cs="仿宋"/>
                <w:b/>
                <w:bCs/>
                <w:i w:val="0"/>
                <w:iCs w:val="0"/>
                <w:color w:val="000000"/>
                <w:kern w:val="0"/>
                <w:sz w:val="24"/>
                <w:szCs w:val="24"/>
                <w:u w:val="none"/>
                <w:lang w:val="en-US" w:eastAsia="zh-CN" w:bidi="ar"/>
              </w:rPr>
              <w:t>服务内容</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1AC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b/>
                <w:bCs/>
                <w:i w:val="0"/>
                <w:iCs w:val="0"/>
                <w:color w:val="000000"/>
                <w:sz w:val="24"/>
                <w:szCs w:val="24"/>
                <w:u w:val="none"/>
              </w:rPr>
            </w:pPr>
            <w:r>
              <w:rPr>
                <w:rFonts w:hint="eastAsia" w:ascii="Times New Roman" w:hAnsi="Times New Roman" w:eastAsia="仿宋" w:cs="仿宋"/>
                <w:b/>
                <w:bCs/>
                <w:i w:val="0"/>
                <w:iCs w:val="0"/>
                <w:color w:val="000000"/>
                <w:kern w:val="0"/>
                <w:sz w:val="24"/>
                <w:szCs w:val="24"/>
                <w:u w:val="none"/>
                <w:lang w:val="en-US" w:eastAsia="zh-CN" w:bidi="ar"/>
              </w:rPr>
              <w:t>方案</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F60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b/>
                <w:bCs/>
                <w:i w:val="0"/>
                <w:iCs w:val="0"/>
                <w:color w:val="000000"/>
                <w:sz w:val="24"/>
                <w:szCs w:val="24"/>
                <w:u w:val="none"/>
              </w:rPr>
            </w:pPr>
            <w:r>
              <w:rPr>
                <w:rFonts w:hint="eastAsia" w:ascii="Times New Roman" w:hAnsi="Times New Roman" w:eastAsia="仿宋" w:cs="仿宋"/>
                <w:b/>
                <w:bCs/>
                <w:i w:val="0"/>
                <w:iCs w:val="0"/>
                <w:color w:val="000000"/>
                <w:kern w:val="0"/>
                <w:sz w:val="24"/>
                <w:szCs w:val="24"/>
                <w:u w:val="none"/>
                <w:lang w:val="en-US" w:eastAsia="zh-CN" w:bidi="ar"/>
              </w:rPr>
              <w:t>明细</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058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b/>
                <w:bCs/>
                <w:i w:val="0"/>
                <w:iCs w:val="0"/>
                <w:color w:val="000000"/>
                <w:sz w:val="24"/>
                <w:szCs w:val="24"/>
                <w:u w:val="none"/>
              </w:rPr>
            </w:pPr>
            <w:r>
              <w:rPr>
                <w:rFonts w:hint="eastAsia" w:ascii="Times New Roman" w:hAnsi="Times New Roman" w:eastAsia="仿宋" w:cs="仿宋"/>
                <w:b/>
                <w:bCs/>
                <w:i w:val="0"/>
                <w:iCs w:val="0"/>
                <w:color w:val="000000"/>
                <w:kern w:val="0"/>
                <w:sz w:val="24"/>
                <w:szCs w:val="24"/>
                <w:u w:val="none"/>
                <w:lang w:val="en-US" w:eastAsia="zh-CN" w:bidi="ar"/>
              </w:rPr>
              <w:t>分项预算</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4E7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b/>
                <w:bCs/>
                <w:i w:val="0"/>
                <w:iCs w:val="0"/>
                <w:color w:val="000000"/>
                <w:sz w:val="24"/>
                <w:szCs w:val="24"/>
                <w:u w:val="none"/>
              </w:rPr>
            </w:pPr>
            <w:r>
              <w:rPr>
                <w:rFonts w:hint="eastAsia" w:ascii="Times New Roman" w:hAnsi="Times New Roman" w:eastAsia="仿宋" w:cs="仿宋"/>
                <w:b/>
                <w:bCs/>
                <w:i w:val="0"/>
                <w:iCs w:val="0"/>
                <w:color w:val="000000"/>
                <w:kern w:val="0"/>
                <w:sz w:val="24"/>
                <w:szCs w:val="24"/>
                <w:u w:val="none"/>
                <w:lang w:val="en-US" w:eastAsia="zh-CN" w:bidi="ar"/>
              </w:rPr>
              <w:t>费用</w:t>
            </w:r>
          </w:p>
        </w:tc>
      </w:tr>
      <w:tr w14:paraId="625D6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680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账号分析及规划</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C7A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1次</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8B8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按照半年/季度定制推文规划，做到账号内容提前策划、下一步推文重点明确，同时按照需求提供季度/年度运营成果及数据报告（以及梳理对标院校推文情况）</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C67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2000</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8BC5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9.2万/年</w:t>
            </w:r>
          </w:p>
        </w:tc>
      </w:tr>
      <w:tr w14:paraId="4E8B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56C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数据分析与复盘</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78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1次</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3C5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年中和年末需提供关注用户增长分析、阅读来源分析及优化建议报告，属于数据服务溢价部分。</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0DB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3000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41E1C">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7712D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263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动态首尾图</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7C7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1套</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DE9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动态首尾图（含手绘学校建筑物，且手绘原稿可提供给学校）</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D8E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2000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7CBB">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1327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906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SVG高品质原创文章</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23C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3篇</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BCF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主题策划、创意、推文文案、素材手绘、排版</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FCC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18000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F219C">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67C4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5EB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手绘精致长图</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CB4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3篇</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665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主题策划、创意、素材手绘、设计制作均由乙方完成</w:t>
            </w:r>
            <w:r>
              <w:rPr>
                <w:rFonts w:hint="eastAsia" w:ascii="Times New Roman" w:hAnsi="Times New Roman" w:eastAsia="仿宋" w:cs="仿宋"/>
                <w:i w:val="0"/>
                <w:iCs w:val="0"/>
                <w:color w:val="000000"/>
                <w:kern w:val="0"/>
                <w:sz w:val="24"/>
                <w:szCs w:val="24"/>
                <w:u w:val="none"/>
                <w:lang w:val="en-US" w:eastAsia="zh-CN" w:bidi="ar"/>
              </w:rPr>
              <w:br w:type="textWrapping"/>
            </w:r>
            <w:r>
              <w:rPr>
                <w:rFonts w:hint="eastAsia" w:ascii="Times New Roman" w:hAnsi="Times New Roman" w:eastAsia="仿宋" w:cs="仿宋"/>
                <w:i w:val="0"/>
                <w:iCs w:val="0"/>
                <w:color w:val="000000"/>
                <w:kern w:val="0"/>
                <w:sz w:val="24"/>
                <w:szCs w:val="24"/>
                <w:u w:val="none"/>
                <w:lang w:val="en-US" w:eastAsia="zh-CN" w:bidi="ar"/>
              </w:rPr>
              <w:t>主题：研究生新生大数据、年终工作回顾等</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A80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18000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1560E">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60E6B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5E5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精美海报</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CE2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15张</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8CF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节假日、节庆、考研倒计时、线下咨询会等重大活动海报</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A39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8000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26056">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6A73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A73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排版设计</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CA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不限篇数</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DE6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学校提供文字、素材，乙方负责排版、校稿</w:t>
            </w:r>
            <w:r>
              <w:rPr>
                <w:rFonts w:hint="eastAsia" w:ascii="Times New Roman" w:hAnsi="Times New Roman" w:eastAsia="仿宋" w:cs="仿宋"/>
                <w:i w:val="0"/>
                <w:iCs w:val="0"/>
                <w:color w:val="000000"/>
                <w:kern w:val="0"/>
                <w:sz w:val="24"/>
                <w:szCs w:val="24"/>
                <w:u w:val="none"/>
                <w:lang w:val="en-US" w:eastAsia="zh-CN" w:bidi="ar"/>
              </w:rPr>
              <w:br w:type="textWrapping"/>
            </w:r>
            <w:r>
              <w:rPr>
                <w:rFonts w:hint="eastAsia" w:ascii="Times New Roman" w:hAnsi="Times New Roman" w:eastAsia="仿宋" w:cs="仿宋"/>
                <w:i w:val="0"/>
                <w:iCs w:val="0"/>
                <w:color w:val="000000"/>
                <w:kern w:val="0"/>
                <w:sz w:val="24"/>
                <w:szCs w:val="24"/>
                <w:u w:val="none"/>
                <w:lang w:val="en-US" w:eastAsia="zh-CN" w:bidi="ar"/>
              </w:rPr>
              <w:t>常规每年排版80篇左右</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773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30000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08C2D">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4823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E84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转发</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DF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不限篇数</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63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原文转推，可再编辑，常规每年转载上级推文5-10篇</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CD8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2000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55DCA">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6018A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C27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舆情监控</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12E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7天*20小时</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747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对平台留言、互动回复随时关注及引导，7天*20小时全时响应</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BEE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5000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B135">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3B3DD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20B7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 xml:space="preserve">新媒体培训 </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16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文字培训</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7B9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根据需求，可对新媒体平台使用、舆情监控等进行培训</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939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2000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40DF4">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r w14:paraId="54780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117D">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both"/>
              <w:rPr>
                <w:rFonts w:hint="eastAsia" w:ascii="Times New Roman" w:hAnsi="Times New Roman" w:eastAsia="仿宋" w:cs="仿宋"/>
                <w:i w:val="0"/>
                <w:iCs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A33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技能培训</w:t>
            </w:r>
          </w:p>
        </w:tc>
        <w:tc>
          <w:tcPr>
            <w:tcW w:w="3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526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视频方向：对拍摄硬件设备的认识、使用；从导演的视角写分镜和脚本等</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3BC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center"/>
              <w:rPr>
                <w:rFonts w:hint="eastAsia" w:ascii="Times New Roman" w:hAnsi="Times New Roman" w:eastAsia="仿宋" w:cs="仿宋"/>
                <w:i w:val="0"/>
                <w:iCs w:val="0"/>
                <w:color w:val="000000"/>
                <w:sz w:val="24"/>
                <w:szCs w:val="24"/>
                <w:u w:val="none"/>
              </w:rPr>
            </w:pPr>
            <w:r>
              <w:rPr>
                <w:rFonts w:hint="eastAsia" w:ascii="Times New Roman" w:hAnsi="Times New Roman" w:eastAsia="仿宋" w:cs="仿宋"/>
                <w:i w:val="0"/>
                <w:iCs w:val="0"/>
                <w:color w:val="000000"/>
                <w:kern w:val="0"/>
                <w:sz w:val="24"/>
                <w:szCs w:val="24"/>
                <w:u w:val="none"/>
                <w:lang w:val="en-US" w:eastAsia="zh-CN" w:bidi="ar"/>
              </w:rPr>
              <w:t>2000</w:t>
            </w: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C17D8">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rPr>
                <w:rFonts w:hint="eastAsia" w:ascii="Times New Roman" w:hAnsi="Times New Roman" w:eastAsia="仿宋" w:cs="仿宋"/>
                <w:i w:val="0"/>
                <w:iCs w:val="0"/>
                <w:color w:val="000000"/>
                <w:sz w:val="24"/>
                <w:szCs w:val="24"/>
                <w:u w:val="none"/>
              </w:rPr>
            </w:pPr>
          </w:p>
        </w:tc>
      </w:tr>
    </w:tbl>
    <w:p w14:paraId="0CDC7771">
      <w:pPr>
        <w:pStyle w:val="21"/>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exact"/>
        <w:ind w:left="0" w:leftChars="0" w:firstLine="482" w:firstLineChars="200"/>
        <w:jc w:val="both"/>
        <w:textAlignment w:val="auto"/>
        <w:rPr>
          <w:rFonts w:hint="eastAsia" w:ascii="Times New Roman" w:hAnsi="Times New Roman" w:eastAsia="仿宋" w:cs="仿宋"/>
          <w:b/>
          <w:bCs/>
          <w:sz w:val="24"/>
          <w:szCs w:val="24"/>
        </w:rPr>
      </w:pPr>
      <w:r>
        <w:rPr>
          <w:rFonts w:hint="eastAsia" w:ascii="Times New Roman" w:hAnsi="Times New Roman" w:eastAsia="仿宋" w:cs="仿宋"/>
          <w:b/>
          <w:bCs/>
          <w:sz w:val="24"/>
          <w:szCs w:val="24"/>
        </w:rPr>
        <w:t>本次建设概况及预期效果：</w:t>
      </w:r>
    </w:p>
    <w:p w14:paraId="4252EBF2">
      <w:pPr>
        <w:pStyle w:val="21"/>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lang w:val="en-US" w:eastAsia="zh-CN"/>
        </w:rPr>
      </w:pPr>
      <w:r>
        <w:rPr>
          <w:rFonts w:hint="eastAsia" w:ascii="Times New Roman" w:hAnsi="Times New Roman" w:eastAsia="仿宋" w:cs="仿宋"/>
          <w:b w:val="0"/>
          <w:bCs w:val="0"/>
          <w:sz w:val="24"/>
          <w:szCs w:val="24"/>
          <w:lang w:val="en-US" w:eastAsia="zh-CN"/>
        </w:rPr>
        <w:t>视觉形象层面：实现品牌统一与专业升级；</w:t>
      </w:r>
    </w:p>
    <w:p w14:paraId="2412D02E">
      <w:pPr>
        <w:pStyle w:val="21"/>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lang w:val="en-US" w:eastAsia="zh-CN"/>
        </w:rPr>
      </w:pPr>
      <w:r>
        <w:rPr>
          <w:rFonts w:hint="eastAsia" w:ascii="Times New Roman" w:hAnsi="Times New Roman" w:eastAsia="仿宋" w:cs="仿宋"/>
          <w:b w:val="0"/>
          <w:bCs w:val="0"/>
          <w:sz w:val="24"/>
          <w:szCs w:val="24"/>
          <w:lang w:val="en-US" w:eastAsia="zh-CN"/>
        </w:rPr>
        <w:t>传播效能层面：提升招生信息触达率与转化率；</w:t>
      </w:r>
    </w:p>
    <w:p w14:paraId="08614ED4">
      <w:pPr>
        <w:pStyle w:val="21"/>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lang w:val="en-US" w:eastAsia="zh-CN"/>
        </w:rPr>
      </w:pPr>
      <w:r>
        <w:rPr>
          <w:rFonts w:hint="eastAsia" w:ascii="Times New Roman" w:hAnsi="Times New Roman" w:eastAsia="仿宋" w:cs="仿宋"/>
          <w:b w:val="0"/>
          <w:bCs w:val="0"/>
          <w:sz w:val="24"/>
          <w:szCs w:val="24"/>
          <w:lang w:val="en-US" w:eastAsia="zh-CN"/>
        </w:rPr>
        <w:t>管理效能层面：应急能力增强与降低风险；</w:t>
      </w:r>
    </w:p>
    <w:p w14:paraId="73A5CED2">
      <w:pPr>
        <w:pStyle w:val="21"/>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lang w:val="en-US" w:eastAsia="zh-CN"/>
        </w:rPr>
      </w:pPr>
      <w:r>
        <w:rPr>
          <w:rFonts w:hint="eastAsia" w:ascii="Times New Roman" w:hAnsi="Times New Roman" w:eastAsia="仿宋" w:cs="仿宋"/>
          <w:b w:val="0"/>
          <w:bCs w:val="0"/>
          <w:sz w:val="24"/>
          <w:szCs w:val="24"/>
          <w:lang w:val="en-US" w:eastAsia="zh-CN"/>
        </w:rPr>
        <w:t>合规与安全层面：筑牢保密与版权防线；</w:t>
      </w:r>
    </w:p>
    <w:p w14:paraId="1ED226DA">
      <w:pPr>
        <w:pStyle w:val="21"/>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b w:val="0"/>
          <w:bCs w:val="0"/>
          <w:sz w:val="24"/>
          <w:szCs w:val="24"/>
          <w:lang w:val="en-US" w:eastAsia="zh-CN"/>
        </w:rPr>
      </w:pPr>
      <w:r>
        <w:rPr>
          <w:rFonts w:hint="eastAsia" w:ascii="Times New Roman" w:hAnsi="Times New Roman" w:eastAsia="仿宋" w:cs="仿宋"/>
          <w:b w:val="0"/>
          <w:bCs w:val="0"/>
          <w:sz w:val="24"/>
          <w:szCs w:val="24"/>
          <w:lang w:val="en-US" w:eastAsia="zh-CN"/>
        </w:rPr>
        <w:t>长期价值层面：形成可复用的宣传资产。</w:t>
      </w:r>
    </w:p>
    <w:p w14:paraId="56535559">
      <w:pPr>
        <w:pStyle w:val="21"/>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560" w:lineRule="exact"/>
        <w:ind w:left="0" w:leftChars="0" w:firstLine="482" w:firstLineChars="200"/>
        <w:jc w:val="both"/>
        <w:textAlignment w:val="auto"/>
        <w:rPr>
          <w:rFonts w:hint="eastAsia" w:ascii="Times New Roman" w:hAnsi="Times New Roman" w:eastAsia="仿宋" w:cs="仿宋"/>
          <w:b/>
          <w:bCs/>
          <w:sz w:val="24"/>
          <w:szCs w:val="24"/>
        </w:rPr>
      </w:pPr>
      <w:r>
        <w:rPr>
          <w:rFonts w:hint="eastAsia" w:ascii="Times New Roman" w:hAnsi="Times New Roman" w:eastAsia="仿宋" w:cs="仿宋"/>
          <w:b/>
          <w:bCs/>
          <w:sz w:val="24"/>
          <w:szCs w:val="24"/>
        </w:rPr>
        <w:t>验收标准</w:t>
      </w:r>
    </w:p>
    <w:p w14:paraId="58715D45">
      <w:pPr>
        <w:pStyle w:val="2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eastAsia" w:ascii="Times New Roman" w:hAnsi="Times New Roman" w:eastAsia="仿宋" w:cs="仿宋"/>
          <w:sz w:val="24"/>
          <w:szCs w:val="24"/>
          <w:lang w:val="en-US" w:eastAsia="zh-CN"/>
        </w:rPr>
      </w:pPr>
      <w:r>
        <w:rPr>
          <w:rFonts w:hint="eastAsia" w:ascii="Times New Roman" w:hAnsi="Times New Roman" w:eastAsia="仿宋" w:cs="仿宋"/>
          <w:sz w:val="24"/>
          <w:szCs w:val="24"/>
          <w:lang w:val="en-US" w:eastAsia="zh-CN"/>
        </w:rPr>
        <w:t>本项目验收坚持“按季考核、年终总验、量化评分、结果挂钩”的原则，由研究生院组织验收。</w:t>
      </w:r>
    </w:p>
    <w:p w14:paraId="556ECCCC">
      <w:pPr>
        <w:pStyle w:val="21"/>
        <w:keepNext w:val="0"/>
        <w:keepLines w:val="0"/>
        <w:pageBreakBefore w:val="0"/>
        <w:numPr>
          <w:ilvl w:val="0"/>
          <w:numId w:val="2"/>
        </w:numPr>
        <w:kinsoku/>
        <w:wordWrap/>
        <w:overflowPunct/>
        <w:topLinePunct w:val="0"/>
        <w:autoSpaceDE/>
        <w:autoSpaceDN/>
        <w:bidi w:val="0"/>
        <w:adjustRightInd/>
        <w:snapToGrid/>
        <w:spacing w:beforeAutospacing="0" w:afterAutospacing="0" w:line="560" w:lineRule="exact"/>
        <w:ind w:left="420" w:leftChars="0" w:hanging="420" w:firstLineChars="0"/>
        <w:jc w:val="left"/>
        <w:rPr>
          <w:rFonts w:hint="eastAsia" w:ascii="Times New Roman" w:hAnsi="Times New Roman" w:eastAsia="仿宋" w:cs="仿宋"/>
          <w:b/>
          <w:bCs/>
          <w:sz w:val="24"/>
          <w:szCs w:val="24"/>
          <w:highlight w:val="none"/>
        </w:rPr>
      </w:pPr>
      <w:r>
        <w:rPr>
          <w:rFonts w:hint="eastAsia" w:ascii="Times New Roman" w:hAnsi="Times New Roman" w:eastAsia="仿宋" w:cs="仿宋"/>
          <w:b/>
          <w:bCs/>
          <w:sz w:val="24"/>
          <w:szCs w:val="24"/>
          <w:highlight w:val="none"/>
        </w:rPr>
        <w:t>支付及报价要求</w:t>
      </w:r>
    </w:p>
    <w:tbl>
      <w:tblPr>
        <w:tblStyle w:val="17"/>
        <w:tblW w:w="52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7977"/>
      </w:tblGrid>
      <w:tr w14:paraId="51EF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53" w:type="pct"/>
            <w:tcBorders>
              <w:top w:val="single" w:color="auto" w:sz="4" w:space="0"/>
              <w:left w:val="single" w:color="auto" w:sz="4" w:space="0"/>
              <w:bottom w:val="single" w:color="auto" w:sz="4" w:space="0"/>
              <w:right w:val="single" w:color="auto" w:sz="4" w:space="0"/>
            </w:tcBorders>
            <w:vAlign w:val="center"/>
          </w:tcPr>
          <w:p w14:paraId="6CF7924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序号</w:t>
            </w:r>
          </w:p>
        </w:tc>
        <w:tc>
          <w:tcPr>
            <w:tcW w:w="4546" w:type="pct"/>
            <w:tcBorders>
              <w:top w:val="single" w:color="auto" w:sz="4" w:space="0"/>
              <w:left w:val="single" w:color="auto" w:sz="4" w:space="0"/>
              <w:bottom w:val="single" w:color="auto" w:sz="4" w:space="0"/>
              <w:right w:val="single" w:color="auto" w:sz="4" w:space="0"/>
            </w:tcBorders>
            <w:vAlign w:val="center"/>
          </w:tcPr>
          <w:p w14:paraId="22BA776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要求内容</w:t>
            </w:r>
          </w:p>
        </w:tc>
      </w:tr>
      <w:tr w14:paraId="135B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53" w:type="pct"/>
            <w:tcBorders>
              <w:top w:val="single" w:color="auto" w:sz="4" w:space="0"/>
              <w:left w:val="single" w:color="auto" w:sz="4" w:space="0"/>
              <w:bottom w:val="single" w:color="auto" w:sz="4" w:space="0"/>
              <w:right w:val="single" w:color="auto" w:sz="4" w:space="0"/>
            </w:tcBorders>
            <w:vAlign w:val="center"/>
          </w:tcPr>
          <w:p w14:paraId="35BEB4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1</w:t>
            </w:r>
          </w:p>
        </w:tc>
        <w:tc>
          <w:tcPr>
            <w:tcW w:w="4546" w:type="pct"/>
            <w:tcBorders>
              <w:top w:val="single" w:color="auto" w:sz="4" w:space="0"/>
              <w:left w:val="single" w:color="auto" w:sz="4" w:space="0"/>
              <w:bottom w:val="single" w:color="auto" w:sz="4" w:space="0"/>
              <w:right w:val="single" w:color="auto" w:sz="4" w:space="0"/>
            </w:tcBorders>
            <w:vAlign w:val="center"/>
          </w:tcPr>
          <w:p w14:paraId="40EA839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支付要求：</w:t>
            </w:r>
            <w:r>
              <w:rPr>
                <w:rFonts w:hint="eastAsia" w:ascii="Times New Roman" w:hAnsi="Times New Roman" w:eastAsia="仿宋" w:cs="仿宋"/>
                <w:b w:val="0"/>
                <w:bCs w:val="0"/>
                <w:sz w:val="24"/>
                <w:szCs w:val="24"/>
                <w:highlight w:val="none"/>
                <w:lang w:val="en-US" w:eastAsia="zh-CN"/>
              </w:rPr>
              <w:t>响应企业</w:t>
            </w:r>
            <w:r>
              <w:rPr>
                <w:rFonts w:hint="eastAsia" w:ascii="Times New Roman" w:hAnsi="Times New Roman" w:eastAsia="仿宋" w:cs="仿宋"/>
                <w:sz w:val="24"/>
                <w:szCs w:val="24"/>
                <w:highlight w:val="none"/>
              </w:rPr>
              <w:t>须在支付货款时开具增值税普通发票。合同生效后10日内，</w:t>
            </w:r>
            <w:r>
              <w:rPr>
                <w:rFonts w:hint="eastAsia" w:ascii="Times New Roman" w:hAnsi="Times New Roman" w:eastAsia="仿宋" w:cs="仿宋"/>
                <w:b w:val="0"/>
                <w:bCs w:val="0"/>
                <w:sz w:val="24"/>
                <w:szCs w:val="24"/>
                <w:highlight w:val="none"/>
                <w:lang w:val="en-US" w:eastAsia="zh-CN"/>
              </w:rPr>
              <w:t>响应企业</w:t>
            </w:r>
            <w:r>
              <w:rPr>
                <w:rFonts w:hint="eastAsia" w:ascii="Times New Roman" w:hAnsi="Times New Roman" w:eastAsia="仿宋" w:cs="仿宋"/>
                <w:sz w:val="24"/>
                <w:szCs w:val="24"/>
                <w:highlight w:val="none"/>
              </w:rPr>
              <w:t>向上海外国语大学出具数额等同于该约定款项的合法有效的税务发票，上海外国语大学支付</w:t>
            </w:r>
            <w:r>
              <w:rPr>
                <w:rFonts w:hint="eastAsia" w:ascii="Times New Roman" w:hAnsi="Times New Roman" w:eastAsia="仿宋" w:cs="仿宋"/>
                <w:sz w:val="24"/>
                <w:szCs w:val="24"/>
                <w:highlight w:val="none"/>
                <w:lang w:val="en-US" w:eastAsia="zh-CN"/>
              </w:rPr>
              <w:t>7</w:t>
            </w:r>
            <w:r>
              <w:rPr>
                <w:rFonts w:hint="eastAsia" w:ascii="Times New Roman" w:hAnsi="Times New Roman" w:eastAsia="仿宋" w:cs="仿宋"/>
                <w:sz w:val="24"/>
                <w:szCs w:val="24"/>
                <w:highlight w:val="none"/>
              </w:rPr>
              <w:t>0%合同款；</w:t>
            </w:r>
          </w:p>
          <w:p w14:paraId="4F54DA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lang w:val="en-US" w:eastAsia="zh-CN"/>
              </w:rPr>
              <w:t>合同期满验收无误</w:t>
            </w:r>
            <w:r>
              <w:rPr>
                <w:rFonts w:hint="eastAsia" w:ascii="Times New Roman" w:hAnsi="Times New Roman" w:eastAsia="仿宋" w:cs="仿宋"/>
                <w:sz w:val="24"/>
                <w:szCs w:val="24"/>
                <w:highlight w:val="none"/>
              </w:rPr>
              <w:t>后10日内，上海外国语大学支付</w:t>
            </w:r>
            <w:r>
              <w:rPr>
                <w:rFonts w:hint="eastAsia" w:ascii="Times New Roman" w:hAnsi="Times New Roman" w:eastAsia="仿宋" w:cs="仿宋"/>
                <w:sz w:val="24"/>
                <w:szCs w:val="24"/>
                <w:highlight w:val="none"/>
                <w:lang w:val="en-US" w:eastAsia="zh-CN"/>
              </w:rPr>
              <w:t>3</w:t>
            </w:r>
            <w:r>
              <w:rPr>
                <w:rFonts w:hint="eastAsia" w:ascii="Times New Roman" w:hAnsi="Times New Roman" w:eastAsia="仿宋" w:cs="仿宋"/>
                <w:sz w:val="24"/>
                <w:szCs w:val="24"/>
                <w:highlight w:val="none"/>
              </w:rPr>
              <w:t>0%合同款，投标商出具数额等同于该约定款项的合法有效的税务发票。</w:t>
            </w:r>
          </w:p>
        </w:tc>
      </w:tr>
      <w:tr w14:paraId="6B74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453" w:type="pct"/>
            <w:tcBorders>
              <w:top w:val="single" w:color="auto" w:sz="4" w:space="0"/>
              <w:left w:val="single" w:color="auto" w:sz="4" w:space="0"/>
              <w:bottom w:val="single" w:color="auto" w:sz="4" w:space="0"/>
              <w:right w:val="single" w:color="auto" w:sz="4" w:space="0"/>
            </w:tcBorders>
            <w:vAlign w:val="center"/>
          </w:tcPr>
          <w:p w14:paraId="407F29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2</w:t>
            </w:r>
          </w:p>
        </w:tc>
        <w:tc>
          <w:tcPr>
            <w:tcW w:w="4546" w:type="pct"/>
            <w:tcBorders>
              <w:top w:val="single" w:color="auto" w:sz="4" w:space="0"/>
              <w:left w:val="single" w:color="auto" w:sz="4" w:space="0"/>
              <w:bottom w:val="single" w:color="auto" w:sz="4" w:space="0"/>
              <w:right w:val="single" w:color="auto" w:sz="4" w:space="0"/>
            </w:tcBorders>
            <w:vAlign w:val="center"/>
          </w:tcPr>
          <w:p w14:paraId="5CB3CC2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rPr>
            </w:pPr>
            <w:r>
              <w:rPr>
                <w:rFonts w:hint="eastAsia" w:ascii="Times New Roman" w:hAnsi="Times New Roman" w:eastAsia="仿宋" w:cs="仿宋"/>
                <w:sz w:val="24"/>
                <w:szCs w:val="24"/>
                <w:highlight w:val="none"/>
              </w:rPr>
              <w:t>报价要求：</w:t>
            </w:r>
            <w:r>
              <w:rPr>
                <w:rFonts w:hint="eastAsia" w:ascii="Times New Roman" w:hAnsi="Times New Roman" w:eastAsia="仿宋" w:cs="仿宋"/>
                <w:b/>
                <w:bCs/>
                <w:sz w:val="24"/>
                <w:szCs w:val="24"/>
                <w:highlight w:val="none"/>
                <w:lang w:val="en-US" w:eastAsia="zh-CN"/>
              </w:rPr>
              <w:t>响应企业</w:t>
            </w:r>
            <w:r>
              <w:rPr>
                <w:rFonts w:hint="eastAsia" w:ascii="Times New Roman" w:hAnsi="Times New Roman" w:eastAsia="仿宋" w:cs="仿宋"/>
                <w:b/>
                <w:bCs/>
                <w:sz w:val="24"/>
                <w:szCs w:val="24"/>
                <w:highlight w:val="none"/>
              </w:rPr>
              <w:t>须按照项目列表分项报价，税费、人工费</w:t>
            </w:r>
            <w:r>
              <w:rPr>
                <w:rFonts w:hint="eastAsia" w:ascii="Times New Roman" w:hAnsi="Times New Roman" w:eastAsia="仿宋" w:cs="仿宋"/>
                <w:b/>
                <w:bCs/>
                <w:sz w:val="24"/>
                <w:szCs w:val="24"/>
                <w:highlight w:val="none"/>
                <w:lang w:eastAsia="zh-CN"/>
              </w:rPr>
              <w:t>（包括但不限于</w:t>
            </w:r>
            <w:r>
              <w:rPr>
                <w:rFonts w:hint="eastAsia" w:ascii="Times New Roman" w:hAnsi="Times New Roman" w:eastAsia="仿宋" w:cs="仿宋"/>
                <w:b/>
                <w:bCs/>
                <w:sz w:val="24"/>
                <w:szCs w:val="24"/>
                <w:highlight w:val="none"/>
              </w:rPr>
              <w:t>）等其他一切费用应已包含在列表所示报价之中，不得另外单独列报</w:t>
            </w:r>
            <w:r>
              <w:rPr>
                <w:rFonts w:hint="eastAsia" w:ascii="Times New Roman" w:hAnsi="Times New Roman" w:eastAsia="仿宋" w:cs="仿宋"/>
                <w:sz w:val="24"/>
                <w:szCs w:val="24"/>
                <w:highlight w:val="none"/>
              </w:rPr>
              <w:t>。</w:t>
            </w:r>
          </w:p>
        </w:tc>
      </w:tr>
    </w:tbl>
    <w:p w14:paraId="1C020ABA">
      <w:pPr>
        <w:pStyle w:val="21"/>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Chars="0"/>
        <w:jc w:val="left"/>
        <w:rPr>
          <w:rFonts w:hint="eastAsia" w:ascii="Times New Roman" w:hAnsi="Times New Roman" w:eastAsia="仿宋" w:cs="仿宋"/>
          <w:b/>
          <w:bCs/>
          <w:sz w:val="24"/>
          <w:szCs w:val="24"/>
          <w:highlight w:val="none"/>
        </w:rPr>
      </w:pPr>
    </w:p>
    <w:p w14:paraId="1E8DFF20">
      <w:pPr>
        <w:pStyle w:val="21"/>
        <w:keepNext w:val="0"/>
        <w:keepLines w:val="0"/>
        <w:pageBreakBefore w:val="0"/>
        <w:numPr>
          <w:ilvl w:val="0"/>
          <w:numId w:val="2"/>
        </w:numPr>
        <w:kinsoku/>
        <w:wordWrap/>
        <w:overflowPunct/>
        <w:topLinePunct w:val="0"/>
        <w:autoSpaceDE/>
        <w:autoSpaceDN/>
        <w:bidi w:val="0"/>
        <w:adjustRightInd/>
        <w:snapToGrid/>
        <w:spacing w:beforeAutospacing="0" w:afterAutospacing="0" w:line="560" w:lineRule="exact"/>
        <w:ind w:left="420" w:leftChars="0" w:hanging="420" w:firstLineChars="0"/>
        <w:jc w:val="left"/>
        <w:rPr>
          <w:rFonts w:hint="eastAsia" w:ascii="Times New Roman" w:hAnsi="Times New Roman" w:eastAsia="仿宋" w:cs="仿宋"/>
          <w:b/>
          <w:bCs/>
          <w:sz w:val="24"/>
          <w:szCs w:val="24"/>
          <w:highlight w:val="none"/>
        </w:rPr>
      </w:pPr>
      <w:r>
        <w:rPr>
          <w:rFonts w:hint="eastAsia" w:ascii="Times New Roman" w:hAnsi="Times New Roman" w:eastAsia="仿宋" w:cs="仿宋"/>
          <w:b/>
          <w:bCs/>
          <w:sz w:val="24"/>
          <w:szCs w:val="24"/>
          <w:highlight w:val="none"/>
        </w:rPr>
        <w:t>交货及培训</w:t>
      </w:r>
    </w:p>
    <w:tbl>
      <w:tblPr>
        <w:tblStyle w:val="17"/>
        <w:tblW w:w="0" w:type="auto"/>
        <w:tblInd w:w="-2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879"/>
        <w:gridCol w:w="5820"/>
      </w:tblGrid>
      <w:tr w14:paraId="6AE5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426CC215">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序号</w:t>
            </w:r>
          </w:p>
        </w:tc>
        <w:tc>
          <w:tcPr>
            <w:tcW w:w="7699" w:type="dxa"/>
            <w:gridSpan w:val="2"/>
            <w:vAlign w:val="center"/>
          </w:tcPr>
          <w:p w14:paraId="07315D1C">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交货及培训要求</w:t>
            </w:r>
          </w:p>
        </w:tc>
      </w:tr>
      <w:tr w14:paraId="6EE8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6E1D1755">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1</w:t>
            </w:r>
          </w:p>
        </w:tc>
        <w:tc>
          <w:tcPr>
            <w:tcW w:w="1879" w:type="dxa"/>
            <w:vAlign w:val="center"/>
          </w:tcPr>
          <w:p w14:paraId="3E6A62AE">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交货完工期</w:t>
            </w:r>
          </w:p>
        </w:tc>
        <w:tc>
          <w:tcPr>
            <w:tcW w:w="5820" w:type="dxa"/>
            <w:vAlign w:val="center"/>
          </w:tcPr>
          <w:p w14:paraId="2F4B80B8">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lang w:eastAsia="zh-CN"/>
              </w:rPr>
            </w:pPr>
            <w:r>
              <w:rPr>
                <w:rFonts w:hint="eastAsia" w:ascii="Times New Roman" w:hAnsi="Times New Roman" w:eastAsia="仿宋" w:cs="仿宋"/>
                <w:sz w:val="24"/>
                <w:szCs w:val="24"/>
                <w:highlight w:val="none"/>
                <w:lang w:val="en-US"/>
              </w:rPr>
              <w:t>签订合同后一年</w:t>
            </w:r>
            <w:r>
              <w:rPr>
                <w:rFonts w:hint="eastAsia" w:ascii="Times New Roman" w:hAnsi="Times New Roman" w:eastAsia="仿宋" w:cs="仿宋"/>
                <w:sz w:val="24"/>
                <w:szCs w:val="24"/>
                <w:highlight w:val="none"/>
              </w:rPr>
              <w:t>内按甲方要求完成内容排版工作</w:t>
            </w:r>
            <w:r>
              <w:rPr>
                <w:rFonts w:hint="eastAsia" w:ascii="Times New Roman" w:hAnsi="Times New Roman" w:eastAsia="仿宋" w:cs="仿宋"/>
                <w:sz w:val="24"/>
                <w:szCs w:val="24"/>
                <w:highlight w:val="none"/>
                <w:lang w:eastAsia="zh-CN"/>
              </w:rPr>
              <w:t>。</w:t>
            </w:r>
          </w:p>
        </w:tc>
      </w:tr>
      <w:tr w14:paraId="5FE1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5608A669">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2</w:t>
            </w:r>
          </w:p>
        </w:tc>
        <w:tc>
          <w:tcPr>
            <w:tcW w:w="1879" w:type="dxa"/>
            <w:vAlign w:val="center"/>
          </w:tcPr>
          <w:p w14:paraId="039B4717">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验收要求</w:t>
            </w:r>
          </w:p>
        </w:tc>
        <w:tc>
          <w:tcPr>
            <w:tcW w:w="5820" w:type="dxa"/>
            <w:vAlign w:val="center"/>
          </w:tcPr>
          <w:p w14:paraId="21449E6F">
            <w:pPr>
              <w:pStyle w:val="2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eastAsia="zh-CN"/>
              </w:rPr>
              <w:t>本项目验收坚持“按季考核、年终总验、量化评分、结果挂钩”的原则，由研究生院组织验收。</w:t>
            </w:r>
          </w:p>
        </w:tc>
      </w:tr>
      <w:tr w14:paraId="51A2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14:paraId="22E79EEA">
            <w:pPr>
              <w:pStyle w:val="2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rPr>
            </w:pPr>
            <w:r>
              <w:rPr>
                <w:rFonts w:hint="eastAsia" w:ascii="Times New Roman" w:hAnsi="Times New Roman" w:eastAsia="仿宋" w:cs="仿宋"/>
                <w:sz w:val="24"/>
                <w:szCs w:val="24"/>
                <w:highlight w:val="none"/>
                <w:lang w:val="en-US"/>
              </w:rPr>
              <w:t>3</w:t>
            </w:r>
          </w:p>
        </w:tc>
        <w:tc>
          <w:tcPr>
            <w:tcW w:w="1879" w:type="dxa"/>
            <w:vAlign w:val="center"/>
          </w:tcPr>
          <w:p w14:paraId="75FCF912">
            <w:pPr>
              <w:pStyle w:val="2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Times New Roman" w:hAnsi="Times New Roman" w:eastAsia="仿宋" w:cs="仿宋"/>
                <w:sz w:val="24"/>
                <w:szCs w:val="24"/>
                <w:highlight w:val="none"/>
                <w:lang w:val="en-US" w:eastAsia="zh-CN"/>
              </w:rPr>
            </w:pPr>
            <w:r>
              <w:rPr>
                <w:rFonts w:hint="eastAsia" w:ascii="Times New Roman" w:hAnsi="Times New Roman" w:eastAsia="仿宋" w:cs="仿宋"/>
                <w:sz w:val="24"/>
                <w:szCs w:val="24"/>
                <w:highlight w:val="none"/>
                <w:lang w:val="en-US" w:eastAsia="zh-CN"/>
              </w:rPr>
              <w:t>用户培训</w:t>
            </w:r>
          </w:p>
        </w:tc>
        <w:tc>
          <w:tcPr>
            <w:tcW w:w="5820" w:type="dxa"/>
            <w:vAlign w:val="center"/>
          </w:tcPr>
          <w:p w14:paraId="0BCC00E0">
            <w:pPr>
              <w:pStyle w:val="2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Times New Roman" w:hAnsi="Times New Roman" w:eastAsia="仿宋" w:cs="仿宋"/>
                <w:sz w:val="24"/>
                <w:szCs w:val="24"/>
                <w:highlight w:val="none"/>
                <w:lang w:val="en-US" w:eastAsia="zh-CN"/>
              </w:rPr>
            </w:pPr>
            <w:r>
              <w:rPr>
                <w:rFonts w:hint="eastAsia" w:ascii="Times New Roman" w:hAnsi="Times New Roman" w:eastAsia="仿宋" w:cs="仿宋"/>
                <w:sz w:val="24"/>
                <w:szCs w:val="24"/>
                <w:highlight w:val="none"/>
                <w:lang w:val="en-US" w:eastAsia="zh-CN"/>
              </w:rPr>
              <w:t>根据需求，可对新媒体平台使用、舆情监控等进行培训</w:t>
            </w:r>
            <w:r>
              <w:rPr>
                <w:rFonts w:hint="eastAsia" w:ascii="Times New Roman" w:hAnsi="Times New Roman" w:eastAsia="仿宋" w:cs="仿宋"/>
                <w:sz w:val="24"/>
                <w:szCs w:val="24"/>
                <w:highlight w:val="none"/>
                <w:lang w:eastAsia="zh-CN"/>
              </w:rPr>
              <w:t>。</w:t>
            </w:r>
            <w:r>
              <w:rPr>
                <w:rFonts w:hint="eastAsia" w:ascii="Times New Roman" w:hAnsi="Times New Roman" w:eastAsia="仿宋" w:cs="仿宋"/>
                <w:sz w:val="24"/>
                <w:szCs w:val="24"/>
                <w:highlight w:val="none"/>
                <w:lang w:val="en-US" w:eastAsia="zh-CN"/>
              </w:rPr>
              <w:t>培训地点为上海外国语大学。</w:t>
            </w:r>
          </w:p>
        </w:tc>
      </w:tr>
    </w:tbl>
    <w:p w14:paraId="3EDA32EB">
      <w:pPr>
        <w:pStyle w:val="21"/>
        <w:keepNext w:val="0"/>
        <w:keepLines w:val="0"/>
        <w:pageBreakBefore w:val="0"/>
        <w:numPr>
          <w:ilvl w:val="0"/>
          <w:numId w:val="2"/>
        </w:numPr>
        <w:kinsoku/>
        <w:wordWrap/>
        <w:overflowPunct/>
        <w:topLinePunct w:val="0"/>
        <w:autoSpaceDE/>
        <w:autoSpaceDN/>
        <w:bidi w:val="0"/>
        <w:adjustRightInd/>
        <w:snapToGrid/>
        <w:spacing w:beforeAutospacing="0" w:afterAutospacing="0" w:line="560" w:lineRule="exact"/>
        <w:ind w:left="420" w:leftChars="0" w:hanging="420" w:firstLineChars="0"/>
        <w:jc w:val="left"/>
        <w:rPr>
          <w:rFonts w:hint="eastAsia" w:ascii="Times New Roman" w:hAnsi="Times New Roman" w:eastAsia="仿宋" w:cs="仿宋"/>
          <w:b/>
          <w:bCs/>
          <w:sz w:val="24"/>
          <w:szCs w:val="24"/>
          <w:highlight w:val="none"/>
        </w:rPr>
      </w:pPr>
      <w:r>
        <w:rPr>
          <w:rFonts w:hint="eastAsia" w:ascii="Times New Roman" w:hAnsi="Times New Roman" w:eastAsia="仿宋" w:cs="仿宋"/>
          <w:b/>
          <w:bCs/>
          <w:sz w:val="24"/>
          <w:szCs w:val="24"/>
          <w:highlight w:val="none"/>
        </w:rPr>
        <w:t>售后服务</w:t>
      </w:r>
    </w:p>
    <w:p w14:paraId="13EABF2D">
      <w:pPr>
        <w:pStyle w:val="21"/>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480" w:firstLineChars="200"/>
        <w:jc w:val="both"/>
        <w:rPr>
          <w:rFonts w:hint="eastAsia" w:ascii="Times New Roman" w:hAnsi="Times New Roman" w:eastAsia="仿宋" w:cs="仿宋"/>
          <w:sz w:val="24"/>
          <w:szCs w:val="24"/>
          <w:lang w:eastAsia="zh-CN"/>
        </w:rPr>
      </w:pPr>
      <w:r>
        <w:rPr>
          <w:rFonts w:hint="eastAsia" w:ascii="Times New Roman" w:hAnsi="Times New Roman" w:eastAsia="仿宋" w:cs="仿宋"/>
          <w:sz w:val="24"/>
          <w:szCs w:val="24"/>
        </w:rPr>
        <w:t>本项目服务期限内，乙方针对本合同约定全部新媒体运营服务内容提供持续性售后服务。甲方在服务时段内，可就推文、设计、策划、数据、留言互动等相关问题向乙方提出咨询、调整需求，乙方按合同及附件约定时效响应处理。乙方指定专属对接人，建立固定沟通群；甲方可通过微信、电话提交售后问题</w:t>
      </w:r>
      <w:r>
        <w:rPr>
          <w:rFonts w:hint="eastAsia" w:ascii="Times New Roman" w:hAnsi="Times New Roman" w:eastAsia="仿宋" w:cs="仿宋"/>
          <w:sz w:val="24"/>
          <w:szCs w:val="24"/>
          <w:lang w:eastAsia="zh-CN"/>
        </w:rPr>
        <w:t>。</w:t>
      </w:r>
    </w:p>
    <w:p w14:paraId="7ED09A0E">
      <w:pPr>
        <w:pStyle w:val="21"/>
        <w:keepNext w:val="0"/>
        <w:keepLines w:val="0"/>
        <w:pageBreakBefore w:val="0"/>
        <w:numPr>
          <w:ilvl w:val="0"/>
          <w:numId w:val="2"/>
        </w:numPr>
        <w:kinsoku/>
        <w:wordWrap/>
        <w:overflowPunct/>
        <w:topLinePunct w:val="0"/>
        <w:autoSpaceDE/>
        <w:autoSpaceDN/>
        <w:bidi w:val="0"/>
        <w:adjustRightInd/>
        <w:snapToGrid/>
        <w:spacing w:beforeAutospacing="0" w:afterAutospacing="0" w:line="560" w:lineRule="exact"/>
        <w:ind w:left="420" w:leftChars="0" w:hanging="420" w:firstLineChars="0"/>
        <w:jc w:val="left"/>
        <w:rPr>
          <w:rFonts w:hint="eastAsia" w:ascii="Times New Roman" w:hAnsi="Times New Roman" w:eastAsia="仿宋" w:cs="仿宋"/>
          <w:b/>
          <w:bCs/>
          <w:sz w:val="24"/>
          <w:szCs w:val="24"/>
        </w:rPr>
      </w:pPr>
      <w:r>
        <w:rPr>
          <w:rFonts w:hint="eastAsia" w:ascii="Times New Roman" w:hAnsi="Times New Roman" w:eastAsia="仿宋" w:cs="仿宋"/>
          <w:b/>
          <w:bCs/>
          <w:sz w:val="24"/>
          <w:szCs w:val="24"/>
          <w:lang w:val="en-US" w:eastAsia="zh-CN"/>
        </w:rPr>
        <w:t>评分标准</w:t>
      </w:r>
    </w:p>
    <w:tbl>
      <w:tblPr>
        <w:tblStyle w:val="17"/>
        <w:tblW w:w="8767" w:type="dxa"/>
        <w:tblInd w:w="-3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2"/>
        <w:gridCol w:w="834"/>
        <w:gridCol w:w="755"/>
        <w:gridCol w:w="6556"/>
      </w:tblGrid>
      <w:tr w14:paraId="55139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569F2F">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B596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评审因素</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B59A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65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1A89F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评分说明</w:t>
            </w:r>
          </w:p>
        </w:tc>
      </w:tr>
      <w:tr w14:paraId="20656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EDDAA">
            <w:pPr>
              <w:rPr>
                <w:rFonts w:hint="eastAsia" w:ascii="仿宋" w:hAnsi="仿宋" w:eastAsia="仿宋" w:cs="仿宋"/>
                <w:b/>
                <w:bCs/>
                <w:i w:val="0"/>
                <w:iCs w:val="0"/>
                <w:color w:val="000000"/>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47411">
            <w:pPr>
              <w:jc w:val="center"/>
              <w:rPr>
                <w:rFonts w:hint="eastAsia" w:ascii="仿宋" w:hAnsi="仿宋" w:eastAsia="仿宋" w:cs="仿宋"/>
                <w:b/>
                <w:bCs/>
                <w:i w:val="0"/>
                <w:iCs w:val="0"/>
                <w:color w:val="000000"/>
                <w:sz w:val="24"/>
                <w:szCs w:val="24"/>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79D37">
            <w:pPr>
              <w:jc w:val="center"/>
              <w:rPr>
                <w:rFonts w:hint="eastAsia" w:ascii="仿宋" w:hAnsi="仿宋" w:eastAsia="仿宋" w:cs="仿宋"/>
                <w:b/>
                <w:bCs/>
                <w:i w:val="0"/>
                <w:iCs w:val="0"/>
                <w:color w:val="000000"/>
                <w:sz w:val="24"/>
                <w:szCs w:val="24"/>
                <w:u w:val="none"/>
              </w:rPr>
            </w:pPr>
          </w:p>
        </w:tc>
        <w:tc>
          <w:tcPr>
            <w:tcW w:w="65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CA261">
            <w:pPr>
              <w:jc w:val="center"/>
              <w:rPr>
                <w:rFonts w:hint="eastAsia" w:ascii="仿宋" w:hAnsi="仿宋" w:eastAsia="仿宋" w:cs="仿宋"/>
                <w:b/>
                <w:bCs/>
                <w:i w:val="0"/>
                <w:iCs w:val="0"/>
                <w:color w:val="000000"/>
                <w:sz w:val="24"/>
                <w:szCs w:val="24"/>
                <w:u w:val="none"/>
              </w:rPr>
            </w:pPr>
          </w:p>
        </w:tc>
      </w:tr>
      <w:tr w14:paraId="3DD11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876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A48699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一、价格部分（30分）</w:t>
            </w:r>
          </w:p>
        </w:tc>
      </w:tr>
      <w:tr w14:paraId="50BB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67C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2FE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报价</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855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6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484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报价得分=（报价基准价／最终报价）×30</w:t>
            </w:r>
          </w:p>
        </w:tc>
      </w:tr>
      <w:tr w14:paraId="33522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876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04F1BB1">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二、商务部分（15分）</w:t>
            </w:r>
          </w:p>
        </w:tc>
      </w:tr>
      <w:tr w14:paraId="69CF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F388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76B2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经验业绩</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55CD1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w:t>
            </w:r>
          </w:p>
        </w:tc>
        <w:tc>
          <w:tcPr>
            <w:tcW w:w="65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4F3C4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类似项目经验情况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（高校公众号新媒体运营项目，每提供1个得3分；高校</w:t>
            </w:r>
            <w:r>
              <w:rPr>
                <w:rFonts w:hint="eastAsia" w:ascii="仿宋" w:hAnsi="仿宋" w:eastAsia="仿宋" w:cs="仿宋"/>
                <w:b/>
                <w:bCs/>
                <w:i w:val="0"/>
                <w:iCs w:val="0"/>
                <w:color w:val="000000"/>
                <w:kern w:val="0"/>
                <w:sz w:val="24"/>
                <w:szCs w:val="24"/>
                <w:u w:val="none"/>
                <w:lang w:val="en-US" w:eastAsia="zh-CN" w:bidi="ar"/>
              </w:rPr>
              <w:t>研招</w:t>
            </w:r>
            <w:r>
              <w:rPr>
                <w:rFonts w:hint="eastAsia" w:ascii="仿宋" w:hAnsi="仿宋" w:eastAsia="仿宋" w:cs="仿宋"/>
                <w:i w:val="0"/>
                <w:iCs w:val="0"/>
                <w:color w:val="000000"/>
                <w:kern w:val="0"/>
                <w:sz w:val="24"/>
                <w:szCs w:val="24"/>
                <w:u w:val="none"/>
                <w:lang w:val="en-US" w:eastAsia="zh-CN" w:bidi="ar"/>
              </w:rPr>
              <w:t>公众号运营项目每提供1个得5分），最高得15分。</w:t>
            </w:r>
          </w:p>
        </w:tc>
      </w:tr>
      <w:tr w14:paraId="13F7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04BD5">
            <w:pPr>
              <w:jc w:val="center"/>
              <w:rPr>
                <w:rFonts w:hint="eastAsia" w:ascii="仿宋" w:hAnsi="仿宋" w:eastAsia="仿宋" w:cs="仿宋"/>
                <w:i w:val="0"/>
                <w:iCs w:val="0"/>
                <w:color w:val="000000"/>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DF28B">
            <w:pPr>
              <w:jc w:val="left"/>
              <w:rPr>
                <w:rFonts w:hint="eastAsia" w:ascii="仿宋" w:hAnsi="仿宋" w:eastAsia="仿宋" w:cs="仿宋"/>
                <w:i w:val="0"/>
                <w:iCs w:val="0"/>
                <w:color w:val="000000"/>
                <w:sz w:val="24"/>
                <w:szCs w:val="24"/>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8AB82">
            <w:pPr>
              <w:jc w:val="center"/>
              <w:rPr>
                <w:rFonts w:hint="eastAsia" w:ascii="仿宋" w:hAnsi="仿宋" w:eastAsia="仿宋" w:cs="仿宋"/>
                <w:i w:val="0"/>
                <w:iCs w:val="0"/>
                <w:color w:val="000000"/>
                <w:sz w:val="24"/>
                <w:szCs w:val="24"/>
                <w:u w:val="none"/>
              </w:rPr>
            </w:pPr>
          </w:p>
        </w:tc>
        <w:tc>
          <w:tcPr>
            <w:tcW w:w="65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1E65A">
            <w:pPr>
              <w:jc w:val="left"/>
              <w:rPr>
                <w:rFonts w:hint="eastAsia" w:ascii="仿宋" w:hAnsi="仿宋" w:eastAsia="仿宋" w:cs="仿宋"/>
                <w:i w:val="0"/>
                <w:iCs w:val="0"/>
                <w:color w:val="000000"/>
                <w:sz w:val="24"/>
                <w:szCs w:val="24"/>
                <w:u w:val="none"/>
              </w:rPr>
            </w:pPr>
          </w:p>
        </w:tc>
      </w:tr>
      <w:tr w14:paraId="71A8F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876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3F1583B">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三、服务方案（55分）</w:t>
            </w:r>
          </w:p>
        </w:tc>
      </w:tr>
      <w:tr w14:paraId="4E0CF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1" w:hRule="atLeast"/>
        </w:trPr>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016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AB6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运营方案</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BC0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35</w:t>
            </w:r>
          </w:p>
        </w:tc>
        <w:tc>
          <w:tcPr>
            <w:tcW w:w="6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E66DF">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根据各供应商提供的运营方案（包括但不限于高校场景理解与年度节奏规划；各阶段公众号运营的实施安排；审校流程；数据报告模板；改进现状措施；特色管理或创新管理等）内容进行综合评审：</w:t>
            </w:r>
          </w:p>
          <w:p w14:paraId="7FC2DF6C">
            <w:pPr>
              <w:keepNext w:val="0"/>
              <w:keepLines w:val="0"/>
              <w:widowControl/>
              <w:numPr>
                <w:ilvl w:val="0"/>
                <w:numId w:val="6"/>
              </w:numPr>
              <w:suppressLineNumbers w:val="0"/>
              <w:ind w:left="425" w:leftChars="0" w:hanging="425" w:firstLineChars="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运营方案科学合理，能根据用户需求进行详细分析，制定的方案内容详细、完整、合理，有针对性、可行性强的得28-35分；</w:t>
            </w:r>
          </w:p>
          <w:p w14:paraId="57119A8A">
            <w:pPr>
              <w:keepNext w:val="0"/>
              <w:keepLines w:val="0"/>
              <w:widowControl/>
              <w:numPr>
                <w:ilvl w:val="0"/>
                <w:numId w:val="6"/>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运营方案合理性一般，对用户需求只进行了简单分析，制定的方案内容简略，完整性和科学性一般，方案针对性、可行性一般的得21-27分；</w:t>
            </w:r>
          </w:p>
          <w:p w14:paraId="6F4FA01B">
            <w:pPr>
              <w:keepNext w:val="0"/>
              <w:keepLines w:val="0"/>
              <w:widowControl/>
              <w:numPr>
                <w:ilvl w:val="0"/>
                <w:numId w:val="6"/>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运营方案合理性较差，对用户需求只进行了大致分析，制定的方案内容过于简略，完整性和科学性较差，方案针对性、可行性较弱的得14-20；</w:t>
            </w:r>
          </w:p>
          <w:p w14:paraId="5BFD939F">
            <w:pPr>
              <w:keepNext w:val="0"/>
              <w:keepLines w:val="0"/>
              <w:widowControl/>
              <w:numPr>
                <w:ilvl w:val="0"/>
                <w:numId w:val="6"/>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未提供或方案不合理，对用户需求未能进行准确分析，制定的方案内容有缺失，方案缺乏针对性、可行性的得0-13分。</w:t>
            </w:r>
          </w:p>
        </w:tc>
      </w:tr>
      <w:tr w14:paraId="183A1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E28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F26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团队配置</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E30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6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65BD">
            <w:pPr>
              <w:keepNext w:val="0"/>
              <w:keepLines w:val="0"/>
              <w:widowControl/>
              <w:suppressLineNumbers w:val="0"/>
              <w:jc w:val="both"/>
              <w:textAlignment w:val="center"/>
              <w:rPr>
                <w:rStyle w:val="37"/>
                <w:rFonts w:hint="eastAsia" w:ascii="仿宋" w:hAnsi="仿宋" w:eastAsia="仿宋" w:cs="仿宋"/>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公众号运营是持续性人力服务，评分同时考察“当前配置”和“未来稳定性”。评分细则：</w:t>
            </w:r>
            <w:r>
              <w:rPr>
                <w:rFonts w:hint="eastAsia" w:ascii="仿宋" w:hAnsi="仿宋" w:eastAsia="仿宋" w:cs="仿宋"/>
                <w:i w:val="0"/>
                <w:iCs w:val="0"/>
                <w:color w:val="000000"/>
                <w:kern w:val="0"/>
                <w:sz w:val="24"/>
                <w:szCs w:val="24"/>
                <w:u w:val="none"/>
                <w:lang w:val="en-US" w:eastAsia="zh-CN" w:bidi="ar"/>
              </w:rPr>
              <w:br w:type="textWrapping"/>
            </w:r>
            <w:r>
              <w:rPr>
                <w:rStyle w:val="37"/>
                <w:rFonts w:hint="eastAsia" w:ascii="仿宋" w:hAnsi="仿宋" w:eastAsia="仿宋" w:cs="仿宋"/>
                <w:sz w:val="24"/>
                <w:szCs w:val="24"/>
                <w:lang w:val="en-US" w:eastAsia="zh-CN" w:bidi="ar"/>
              </w:rPr>
              <w:t>团队配备（10分）须提供团队人员名单、简历，以及职责分工表：</w:t>
            </w:r>
          </w:p>
          <w:p w14:paraId="2B0780B0">
            <w:pPr>
              <w:keepNext w:val="0"/>
              <w:keepLines w:val="0"/>
              <w:widowControl/>
              <w:numPr>
                <w:ilvl w:val="0"/>
                <w:numId w:val="7"/>
              </w:numPr>
              <w:suppressLineNumbers w:val="0"/>
              <w:ind w:left="425" w:leftChars="0" w:hanging="425" w:firstLineChars="0"/>
              <w:jc w:val="both"/>
              <w:textAlignment w:val="center"/>
              <w:rPr>
                <w:rStyle w:val="38"/>
                <w:rFonts w:hint="eastAsia" w:ascii="仿宋" w:hAnsi="仿宋" w:eastAsia="仿宋" w:cs="仿宋"/>
                <w:sz w:val="24"/>
                <w:szCs w:val="24"/>
                <w:lang w:val="en-US" w:eastAsia="zh-CN" w:bidi="ar"/>
              </w:rPr>
            </w:pPr>
            <w:r>
              <w:rPr>
                <w:rStyle w:val="38"/>
                <w:rFonts w:hint="eastAsia" w:ascii="仿宋" w:hAnsi="仿宋" w:eastAsia="仿宋" w:cs="仿宋"/>
                <w:sz w:val="24"/>
                <w:szCs w:val="24"/>
                <w:lang w:val="en-US" w:eastAsia="zh-CN" w:bidi="ar"/>
              </w:rPr>
              <w:t>为本项目配备不少于3人的专职团队（项目负责人、内容编辑、视觉/视频人员各不少于1人），且项目负责人具有2年以上新媒体运营经验，项目负责人或核心编辑具有高校、教育机构或教育类媒体公众号运营经验，得8-10分；</w:t>
            </w:r>
          </w:p>
          <w:p w14:paraId="4C9EC055">
            <w:pPr>
              <w:keepNext w:val="0"/>
              <w:keepLines w:val="0"/>
              <w:widowControl/>
              <w:numPr>
                <w:ilvl w:val="0"/>
                <w:numId w:val="7"/>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Style w:val="38"/>
                <w:rFonts w:hint="eastAsia" w:ascii="仿宋" w:hAnsi="仿宋" w:eastAsia="仿宋" w:cs="仿宋"/>
                <w:sz w:val="24"/>
                <w:szCs w:val="24"/>
                <w:lang w:val="en-US" w:eastAsia="zh-CN" w:bidi="ar"/>
              </w:rPr>
              <w:t>团队3人但职责有交叉或负责人经验不足2年，团队仅有一般商业/政务新媒体经验，得5-7分；</w:t>
            </w:r>
          </w:p>
          <w:p w14:paraId="2ABD0E25">
            <w:pPr>
              <w:keepNext w:val="0"/>
              <w:keepLines w:val="0"/>
              <w:widowControl/>
              <w:numPr>
                <w:ilvl w:val="0"/>
                <w:numId w:val="7"/>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Style w:val="38"/>
                <w:rFonts w:hint="eastAsia" w:ascii="仿宋" w:hAnsi="仿宋" w:eastAsia="仿宋" w:cs="仿宋"/>
                <w:sz w:val="24"/>
                <w:szCs w:val="24"/>
                <w:lang w:val="en-US" w:eastAsia="zh-CN" w:bidi="ar"/>
              </w:rPr>
              <w:t>团队不足3人或无明确专职人员，无相关经验，得0-5分。</w:t>
            </w:r>
          </w:p>
          <w:p w14:paraId="2DA0E4FD">
            <w:pPr>
              <w:keepNext w:val="0"/>
              <w:keepLines w:val="0"/>
              <w:widowControl/>
              <w:numPr>
                <w:ilvl w:val="0"/>
                <w:numId w:val="0"/>
              </w:numPr>
              <w:suppressLineNumbers w:val="0"/>
              <w:jc w:val="both"/>
              <w:textAlignment w:val="center"/>
              <w:rPr>
                <w:rStyle w:val="37"/>
                <w:rFonts w:hint="eastAsia" w:ascii="仿宋" w:hAnsi="仿宋" w:eastAsia="仿宋" w:cs="仿宋"/>
                <w:sz w:val="24"/>
                <w:szCs w:val="24"/>
                <w:lang w:val="en-US" w:eastAsia="zh-CN" w:bidi="ar"/>
              </w:rPr>
            </w:pPr>
            <w:r>
              <w:rPr>
                <w:rStyle w:val="37"/>
                <w:rFonts w:hint="eastAsia" w:ascii="仿宋" w:hAnsi="仿宋" w:eastAsia="仿宋" w:cs="仿宋"/>
                <w:sz w:val="24"/>
                <w:szCs w:val="24"/>
                <w:lang w:val="en-US" w:eastAsia="zh-CN" w:bidi="ar"/>
              </w:rPr>
              <w:t>人员稳定性承诺（5分）</w:t>
            </w:r>
          </w:p>
          <w:p w14:paraId="1F1FA874">
            <w:pPr>
              <w:keepNext w:val="0"/>
              <w:keepLines w:val="0"/>
              <w:widowControl/>
              <w:numPr>
                <w:ilvl w:val="0"/>
                <w:numId w:val="8"/>
              </w:numPr>
              <w:suppressLineNumbers w:val="0"/>
              <w:ind w:left="425" w:leftChars="0" w:hanging="425" w:firstLineChars="0"/>
              <w:jc w:val="both"/>
              <w:textAlignment w:val="center"/>
              <w:rPr>
                <w:rStyle w:val="38"/>
                <w:rFonts w:hint="eastAsia" w:ascii="仿宋" w:hAnsi="仿宋" w:eastAsia="仿宋" w:cs="仿宋"/>
                <w:sz w:val="24"/>
                <w:szCs w:val="24"/>
                <w:lang w:val="en-US" w:eastAsia="zh-CN" w:bidi="ar"/>
              </w:rPr>
            </w:pPr>
            <w:r>
              <w:rPr>
                <w:rStyle w:val="38"/>
                <w:rFonts w:hint="eastAsia" w:ascii="仿宋" w:hAnsi="仿宋" w:eastAsia="仿宋" w:cs="仿宋"/>
                <w:sz w:val="24"/>
                <w:szCs w:val="24"/>
                <w:lang w:val="en-US" w:eastAsia="zh-CN" w:bidi="ar"/>
              </w:rPr>
              <w:t>承诺服务期内项目负责人及核心成员不更换（人员离职等不可抗力除外），且更换须提前15个工作日书面报备并完成交接，得4—5分；</w:t>
            </w:r>
          </w:p>
          <w:p w14:paraId="33997AED">
            <w:pPr>
              <w:keepNext w:val="0"/>
              <w:keepLines w:val="0"/>
              <w:widowControl/>
              <w:numPr>
                <w:ilvl w:val="0"/>
                <w:numId w:val="8"/>
              </w:numPr>
              <w:suppressLineNumbers w:val="0"/>
              <w:ind w:left="425" w:leftChars="0" w:hanging="425" w:firstLineChars="0"/>
              <w:jc w:val="both"/>
              <w:textAlignment w:val="center"/>
              <w:rPr>
                <w:rStyle w:val="38"/>
                <w:rFonts w:hint="eastAsia" w:ascii="仿宋" w:hAnsi="仿宋" w:eastAsia="仿宋" w:cs="仿宋"/>
                <w:sz w:val="24"/>
                <w:szCs w:val="24"/>
                <w:lang w:val="en-US" w:eastAsia="zh-CN" w:bidi="ar"/>
              </w:rPr>
            </w:pPr>
            <w:r>
              <w:rPr>
                <w:rStyle w:val="38"/>
                <w:rFonts w:hint="eastAsia" w:ascii="仿宋" w:hAnsi="仿宋" w:eastAsia="仿宋" w:cs="仿宋"/>
                <w:sz w:val="24"/>
                <w:szCs w:val="24"/>
                <w:lang w:val="en-US" w:eastAsia="zh-CN" w:bidi="ar"/>
              </w:rPr>
              <w:t>有稳定性承诺但无具体报备时限和交接要求，得2-3分；</w:t>
            </w:r>
          </w:p>
          <w:p w14:paraId="42B839C0">
            <w:pPr>
              <w:keepNext w:val="0"/>
              <w:keepLines w:val="0"/>
              <w:widowControl/>
              <w:numPr>
                <w:ilvl w:val="0"/>
                <w:numId w:val="8"/>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Style w:val="38"/>
                <w:rFonts w:hint="eastAsia" w:ascii="仿宋" w:hAnsi="仿宋" w:eastAsia="仿宋" w:cs="仿宋"/>
                <w:sz w:val="24"/>
                <w:szCs w:val="24"/>
                <w:lang w:val="en-US" w:eastAsia="zh-CN" w:bidi="ar"/>
              </w:rPr>
              <w:t>承诺随意或无承诺，得0-1分。</w:t>
            </w:r>
          </w:p>
        </w:tc>
      </w:tr>
      <w:tr w14:paraId="09ECE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6B0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2BC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服务质量保障</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BAD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24C3F">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服务质量保障措施及相关承诺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根据供应商的服务质量保障措施、服务承诺等情况：</w:t>
            </w:r>
          </w:p>
          <w:p w14:paraId="1D2D2F72">
            <w:pPr>
              <w:keepNext w:val="0"/>
              <w:keepLines w:val="0"/>
              <w:widowControl/>
              <w:numPr>
                <w:ilvl w:val="0"/>
                <w:numId w:val="9"/>
              </w:numPr>
              <w:suppressLineNumbers w:val="0"/>
              <w:ind w:left="425" w:leftChars="0" w:hanging="425" w:firstLineChars="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保证措施合理完善、服务承诺切合实际、针对性强得4-5分；</w:t>
            </w:r>
          </w:p>
          <w:p w14:paraId="54D1F88E">
            <w:pPr>
              <w:keepNext w:val="0"/>
              <w:keepLines w:val="0"/>
              <w:widowControl/>
              <w:numPr>
                <w:ilvl w:val="0"/>
                <w:numId w:val="9"/>
              </w:numPr>
              <w:suppressLineNumbers w:val="0"/>
              <w:ind w:left="425" w:leftChars="0" w:hanging="425" w:firstLineChars="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保障措施较合理完善、服务承诺较切合实际得2-3分；</w:t>
            </w:r>
          </w:p>
          <w:p w14:paraId="085B3CF7">
            <w:pPr>
              <w:keepNext w:val="0"/>
              <w:keepLines w:val="0"/>
              <w:widowControl/>
              <w:numPr>
                <w:ilvl w:val="0"/>
                <w:numId w:val="9"/>
              </w:numPr>
              <w:suppressLineNumbers w:val="0"/>
              <w:ind w:left="425" w:leftChars="0" w:hanging="425" w:firstLineChars="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保障措施不合理完善、服务承诺不切合实际得1分；</w:t>
            </w:r>
          </w:p>
          <w:p w14:paraId="15F13DD8">
            <w:pPr>
              <w:keepNext w:val="0"/>
              <w:keepLines w:val="0"/>
              <w:widowControl/>
              <w:numPr>
                <w:ilvl w:val="0"/>
                <w:numId w:val="9"/>
              </w:numPr>
              <w:suppressLineNumbers w:val="0"/>
              <w:ind w:left="425" w:leftChars="0" w:hanging="425" w:firstLineChars="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未提供的，得0分。</w:t>
            </w:r>
          </w:p>
        </w:tc>
      </w:tr>
      <w:tr w14:paraId="507E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2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003FB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合计</w:t>
            </w:r>
          </w:p>
        </w:tc>
        <w:tc>
          <w:tcPr>
            <w:tcW w:w="6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6D5A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9"/>
                <w:rFonts w:hint="eastAsia" w:ascii="仿宋" w:hAnsi="仿宋" w:eastAsia="仿宋" w:cs="仿宋"/>
                <w:sz w:val="24"/>
                <w:szCs w:val="24"/>
                <w:lang w:val="en-US" w:eastAsia="zh-CN" w:bidi="ar"/>
              </w:rPr>
              <w:t>100</w:t>
            </w:r>
            <w:r>
              <w:rPr>
                <w:rStyle w:val="40"/>
                <w:rFonts w:hint="eastAsia" w:ascii="仿宋" w:hAnsi="仿宋" w:eastAsia="仿宋" w:cs="仿宋"/>
                <w:sz w:val="24"/>
                <w:szCs w:val="24"/>
                <w:lang w:val="en-US" w:eastAsia="zh-CN" w:bidi="ar"/>
              </w:rPr>
              <w:t>分</w:t>
            </w:r>
          </w:p>
        </w:tc>
      </w:tr>
    </w:tbl>
    <w:p w14:paraId="73A722A0">
      <w:pPr>
        <w:pStyle w:val="21"/>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Chars="0"/>
        <w:jc w:val="left"/>
        <w:rPr>
          <w:rFonts w:hint="eastAsia" w:ascii="Times New Roman" w:hAnsi="Times New Roman" w:eastAsia="仿宋" w:cs="仿宋"/>
          <w:b/>
          <w:bCs/>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BEB28"/>
    <w:multiLevelType w:val="multilevel"/>
    <w:tmpl w:val="822BEB28"/>
    <w:lvl w:ilvl="0" w:tentative="0">
      <w:start w:val="1"/>
      <w:numFmt w:val="japaneseCounting"/>
      <w:suff w:val="space"/>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F028CD72"/>
    <w:multiLevelType w:val="singleLevel"/>
    <w:tmpl w:val="F028CD72"/>
    <w:lvl w:ilvl="0" w:tentative="0">
      <w:start w:val="1"/>
      <w:numFmt w:val="chineseCounting"/>
      <w:suff w:val="nothing"/>
      <w:lvlText w:val="（%1）"/>
      <w:lvlJc w:val="left"/>
      <w:pPr>
        <w:ind w:left="0" w:firstLine="420"/>
      </w:pPr>
      <w:rPr>
        <w:rFonts w:hint="eastAsia"/>
      </w:rPr>
    </w:lvl>
  </w:abstractNum>
  <w:abstractNum w:abstractNumId="2">
    <w:nsid w:val="FFFFFFFB"/>
    <w:multiLevelType w:val="multilevel"/>
    <w:tmpl w:val="FFFFFFFB"/>
    <w:lvl w:ilvl="0" w:tentative="0">
      <w:start w:val="1"/>
      <w:numFmt w:val="decimal"/>
      <w:pStyle w:val="2"/>
      <w:lvlText w:val="%1"/>
      <w:legacy w:legacy="1" w:legacySpace="255" w:legacyIndent="0"/>
      <w:lvlJc w:val="left"/>
      <w:rPr>
        <w:rFonts w:hint="eastAsia" w:ascii="黑体" w:eastAsia="黑体"/>
        <w:b w:val="0"/>
        <w:i w:val="0"/>
        <w:sz w:val="24"/>
      </w:rPr>
    </w:lvl>
    <w:lvl w:ilvl="1" w:tentative="0">
      <w:start w:val="1"/>
      <w:numFmt w:val="decimal"/>
      <w:pStyle w:val="3"/>
      <w:lvlText w:val="%1.%2"/>
      <w:legacy w:legacy="1" w:legacySpace="255" w:legacyIndent="0"/>
      <w:lvlJc w:val="left"/>
      <w:rPr>
        <w:rFonts w:hint="eastAsia" w:ascii="黑体" w:eastAsia="黑体"/>
        <w:b w:val="0"/>
        <w:i w:val="0"/>
        <w:sz w:val="24"/>
      </w:rPr>
    </w:lvl>
    <w:lvl w:ilvl="2" w:tentative="0">
      <w:start w:val="1"/>
      <w:numFmt w:val="decimal"/>
      <w:pStyle w:val="4"/>
      <w:lvlText w:val="%1.%2.%3"/>
      <w:legacy w:legacy="1" w:legacySpace="255" w:legacyIndent="0"/>
      <w:lvlJc w:val="left"/>
      <w:rPr>
        <w:rFonts w:hint="eastAsia" w:ascii="黑体" w:eastAsia="黑体"/>
        <w:b w:val="0"/>
        <w:i w:val="0"/>
        <w:sz w:val="24"/>
      </w:rPr>
    </w:lvl>
    <w:lvl w:ilvl="3" w:tentative="0">
      <w:start w:val="1"/>
      <w:numFmt w:val="decimal"/>
      <w:pStyle w:val="5"/>
      <w:lvlText w:val="%1.%2.%3.%4"/>
      <w:legacy w:legacy="1" w:legacySpace="255" w:legacyIndent="0"/>
      <w:lvlJc w:val="left"/>
      <w:rPr>
        <w:rFonts w:hint="eastAsia" w:ascii="黑体" w:eastAsia="黑体"/>
        <w:b w:val="0"/>
        <w:i w:val="0"/>
        <w:sz w:val="24"/>
      </w:rPr>
    </w:lvl>
    <w:lvl w:ilvl="4" w:tentative="0">
      <w:start w:val="1"/>
      <w:numFmt w:val="decimal"/>
      <w:pStyle w:val="6"/>
      <w:lvlText w:val="%1.%2.%3.%4.%5"/>
      <w:legacy w:legacy="1" w:legacySpace="255" w:legacyIndent="0"/>
      <w:lvlJc w:val="left"/>
      <w:rPr>
        <w:rFonts w:hint="eastAsia" w:ascii="黑体" w:eastAsia="黑体"/>
        <w:b w:val="0"/>
        <w:i w:val="0"/>
        <w:sz w:val="24"/>
      </w:rPr>
    </w:lvl>
    <w:lvl w:ilvl="5" w:tentative="0">
      <w:start w:val="1"/>
      <w:numFmt w:val="decimal"/>
      <w:pStyle w:val="7"/>
      <w:lvlText w:val="%1.%2.%3.%4.%5.%6"/>
      <w:legacy w:legacy="1" w:legacySpace="255" w:legacyIndent="0"/>
      <w:lvlJc w:val="left"/>
      <w:rPr>
        <w:rFonts w:hint="eastAsia" w:ascii="黑体" w:eastAsia="黑体"/>
        <w:b w:val="0"/>
        <w:i w:val="0"/>
        <w:sz w:val="24"/>
      </w:rPr>
    </w:lvl>
    <w:lvl w:ilvl="6" w:tentative="0">
      <w:start w:val="1"/>
      <w:numFmt w:val="decimal"/>
      <w:pStyle w:val="8"/>
      <w:lvlText w:val="（%7）"/>
      <w:legacy w:legacy="1" w:legacySpace="113" w:legacyIndent="0"/>
      <w:lvlJc w:val="left"/>
      <w:pPr>
        <w:ind w:left="1191" w:firstLine="0"/>
      </w:pPr>
      <w:rPr>
        <w:rFonts w:hint="eastAsia" w:ascii="黑体" w:eastAsia="黑体"/>
        <w:b w:val="0"/>
        <w:i w:val="0"/>
        <w:sz w:val="24"/>
      </w:rPr>
    </w:lvl>
    <w:lvl w:ilvl="7" w:tentative="0">
      <w:start w:val="1"/>
      <w:numFmt w:val="lowerLetter"/>
      <w:pStyle w:val="9"/>
      <w:lvlText w:val="（%8）"/>
      <w:legacy w:legacy="1" w:legacySpace="113" w:legacyIndent="0"/>
      <w:lvlJc w:val="left"/>
      <w:pPr>
        <w:ind w:left="1888" w:firstLine="0"/>
      </w:pPr>
      <w:rPr>
        <w:rFonts w:hint="eastAsia" w:ascii="黑体" w:eastAsia="黑体"/>
        <w:b w:val="0"/>
        <w:i w:val="0"/>
        <w:sz w:val="24"/>
      </w:rPr>
    </w:lvl>
    <w:lvl w:ilvl="8" w:tentative="0">
      <w:start w:val="1"/>
      <w:numFmt w:val="lowerRoman"/>
      <w:pStyle w:val="10"/>
      <w:lvlText w:val="（%9）"/>
      <w:legacy w:legacy="1" w:legacySpace="113" w:legacyIndent="0"/>
      <w:lvlJc w:val="left"/>
      <w:pPr>
        <w:ind w:left="2591" w:firstLine="0"/>
      </w:pPr>
      <w:rPr>
        <w:rFonts w:hint="eastAsia" w:ascii="黑体" w:eastAsia="黑体"/>
        <w:b w:val="0"/>
        <w:i w:val="0"/>
        <w:sz w:val="24"/>
      </w:rPr>
    </w:lvl>
  </w:abstractNum>
  <w:abstractNum w:abstractNumId="3">
    <w:nsid w:val="271B121D"/>
    <w:multiLevelType w:val="singleLevel"/>
    <w:tmpl w:val="271B121D"/>
    <w:lvl w:ilvl="0" w:tentative="0">
      <w:start w:val="1"/>
      <w:numFmt w:val="decimal"/>
      <w:lvlText w:val="(%1)"/>
      <w:lvlJc w:val="left"/>
      <w:pPr>
        <w:ind w:left="425" w:hanging="425"/>
      </w:pPr>
      <w:rPr>
        <w:rFonts w:hint="default"/>
      </w:rPr>
    </w:lvl>
  </w:abstractNum>
  <w:abstractNum w:abstractNumId="4">
    <w:nsid w:val="2F42DF09"/>
    <w:multiLevelType w:val="singleLevel"/>
    <w:tmpl w:val="2F42DF09"/>
    <w:lvl w:ilvl="0" w:tentative="0">
      <w:start w:val="1"/>
      <w:numFmt w:val="decimal"/>
      <w:lvlText w:val="(%1)"/>
      <w:lvlJc w:val="left"/>
      <w:pPr>
        <w:ind w:left="425" w:hanging="425"/>
      </w:pPr>
      <w:rPr>
        <w:rFonts w:hint="default"/>
      </w:rPr>
    </w:lvl>
  </w:abstractNum>
  <w:abstractNum w:abstractNumId="5">
    <w:nsid w:val="66B6F1F8"/>
    <w:multiLevelType w:val="singleLevel"/>
    <w:tmpl w:val="66B6F1F8"/>
    <w:lvl w:ilvl="0" w:tentative="0">
      <w:start w:val="1"/>
      <w:numFmt w:val="decimal"/>
      <w:lvlText w:val="(%1)"/>
      <w:lvlJc w:val="left"/>
      <w:pPr>
        <w:ind w:left="425" w:hanging="425"/>
      </w:pPr>
      <w:rPr>
        <w:rFonts w:hint="default"/>
      </w:rPr>
    </w:lvl>
  </w:abstractNum>
  <w:abstractNum w:abstractNumId="6">
    <w:nsid w:val="6E767052"/>
    <w:multiLevelType w:val="multilevel"/>
    <w:tmpl w:val="6E76705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76B609F5"/>
    <w:multiLevelType w:val="singleLevel"/>
    <w:tmpl w:val="76B609F5"/>
    <w:lvl w:ilvl="0" w:tentative="0">
      <w:start w:val="1"/>
      <w:numFmt w:val="decimal"/>
      <w:lvlText w:val="(%1)"/>
      <w:lvlJc w:val="left"/>
      <w:pPr>
        <w:ind w:left="425" w:hanging="425"/>
      </w:pPr>
      <w:rPr>
        <w:rFonts w:hint="default"/>
      </w:rPr>
    </w:lvl>
  </w:abstractNum>
  <w:abstractNum w:abstractNumId="8">
    <w:nsid w:val="781E1529"/>
    <w:multiLevelType w:val="singleLevel"/>
    <w:tmpl w:val="781E1529"/>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 w:numId="4">
    <w:abstractNumId w:val="6"/>
  </w:num>
  <w:num w:numId="5">
    <w:abstractNumId w:val="5"/>
  </w:num>
  <w:num w:numId="6">
    <w:abstractNumId w:val="4"/>
  </w:num>
  <w:num w:numId="7">
    <w:abstractNumId w:val="8"/>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2D9"/>
    <w:rsid w:val="000038D3"/>
    <w:rsid w:val="0000422F"/>
    <w:rsid w:val="000101AC"/>
    <w:rsid w:val="00016D22"/>
    <w:rsid w:val="00030E59"/>
    <w:rsid w:val="0003182F"/>
    <w:rsid w:val="00045CDA"/>
    <w:rsid w:val="0004796C"/>
    <w:rsid w:val="00053AFC"/>
    <w:rsid w:val="0005413B"/>
    <w:rsid w:val="00061199"/>
    <w:rsid w:val="000617C8"/>
    <w:rsid w:val="00063935"/>
    <w:rsid w:val="00072008"/>
    <w:rsid w:val="00081FBF"/>
    <w:rsid w:val="000872F1"/>
    <w:rsid w:val="0008753A"/>
    <w:rsid w:val="00094A29"/>
    <w:rsid w:val="000A0D9B"/>
    <w:rsid w:val="000A6488"/>
    <w:rsid w:val="000D395C"/>
    <w:rsid w:val="000D76A4"/>
    <w:rsid w:val="000E47C7"/>
    <w:rsid w:val="000F18C8"/>
    <w:rsid w:val="000F6967"/>
    <w:rsid w:val="000F76A4"/>
    <w:rsid w:val="00101747"/>
    <w:rsid w:val="0010206B"/>
    <w:rsid w:val="001048C9"/>
    <w:rsid w:val="001052FB"/>
    <w:rsid w:val="00123B7B"/>
    <w:rsid w:val="0012557F"/>
    <w:rsid w:val="001259AA"/>
    <w:rsid w:val="00137EE5"/>
    <w:rsid w:val="001455EF"/>
    <w:rsid w:val="00146DF9"/>
    <w:rsid w:val="00154D1E"/>
    <w:rsid w:val="00156113"/>
    <w:rsid w:val="00157630"/>
    <w:rsid w:val="0016308F"/>
    <w:rsid w:val="001662DA"/>
    <w:rsid w:val="00172A87"/>
    <w:rsid w:val="00184E73"/>
    <w:rsid w:val="00186653"/>
    <w:rsid w:val="00191028"/>
    <w:rsid w:val="00191352"/>
    <w:rsid w:val="00191A84"/>
    <w:rsid w:val="001A15E1"/>
    <w:rsid w:val="001B30BA"/>
    <w:rsid w:val="001B5155"/>
    <w:rsid w:val="001C38A3"/>
    <w:rsid w:val="001E47CD"/>
    <w:rsid w:val="001E4DEF"/>
    <w:rsid w:val="001E75CF"/>
    <w:rsid w:val="001F136D"/>
    <w:rsid w:val="001F193D"/>
    <w:rsid w:val="00200FCA"/>
    <w:rsid w:val="00217C7C"/>
    <w:rsid w:val="00223502"/>
    <w:rsid w:val="0022634B"/>
    <w:rsid w:val="00226C30"/>
    <w:rsid w:val="00231376"/>
    <w:rsid w:val="0024052C"/>
    <w:rsid w:val="00241F01"/>
    <w:rsid w:val="0024222D"/>
    <w:rsid w:val="002430EF"/>
    <w:rsid w:val="00250805"/>
    <w:rsid w:val="00257ECD"/>
    <w:rsid w:val="00266E29"/>
    <w:rsid w:val="00275CB4"/>
    <w:rsid w:val="0028613F"/>
    <w:rsid w:val="00290687"/>
    <w:rsid w:val="002976FB"/>
    <w:rsid w:val="002B2946"/>
    <w:rsid w:val="002B3396"/>
    <w:rsid w:val="002C42A1"/>
    <w:rsid w:val="002D4C6A"/>
    <w:rsid w:val="002D502E"/>
    <w:rsid w:val="002D51C3"/>
    <w:rsid w:val="002D55C9"/>
    <w:rsid w:val="002E2B65"/>
    <w:rsid w:val="002E32E8"/>
    <w:rsid w:val="002F6DD6"/>
    <w:rsid w:val="002F72FE"/>
    <w:rsid w:val="00301627"/>
    <w:rsid w:val="003037AA"/>
    <w:rsid w:val="003070EF"/>
    <w:rsid w:val="00313A18"/>
    <w:rsid w:val="003149D5"/>
    <w:rsid w:val="00316458"/>
    <w:rsid w:val="00316668"/>
    <w:rsid w:val="00316802"/>
    <w:rsid w:val="00324D6D"/>
    <w:rsid w:val="00330A76"/>
    <w:rsid w:val="00332C20"/>
    <w:rsid w:val="00336F9A"/>
    <w:rsid w:val="00352A10"/>
    <w:rsid w:val="0035471D"/>
    <w:rsid w:val="0036473A"/>
    <w:rsid w:val="003720C1"/>
    <w:rsid w:val="003761E5"/>
    <w:rsid w:val="0038163B"/>
    <w:rsid w:val="00386420"/>
    <w:rsid w:val="00387B9F"/>
    <w:rsid w:val="003A2E51"/>
    <w:rsid w:val="003B2132"/>
    <w:rsid w:val="003B6DEF"/>
    <w:rsid w:val="003C391C"/>
    <w:rsid w:val="003C562F"/>
    <w:rsid w:val="003C5952"/>
    <w:rsid w:val="003D484A"/>
    <w:rsid w:val="003D665C"/>
    <w:rsid w:val="003F2790"/>
    <w:rsid w:val="003F72AC"/>
    <w:rsid w:val="00400EFF"/>
    <w:rsid w:val="004012E0"/>
    <w:rsid w:val="00413FC6"/>
    <w:rsid w:val="004163B6"/>
    <w:rsid w:val="00443D00"/>
    <w:rsid w:val="00450DA7"/>
    <w:rsid w:val="0045690F"/>
    <w:rsid w:val="00456A4C"/>
    <w:rsid w:val="00462D31"/>
    <w:rsid w:val="00464009"/>
    <w:rsid w:val="00466DFD"/>
    <w:rsid w:val="00476D2B"/>
    <w:rsid w:val="004A0B20"/>
    <w:rsid w:val="004A4C85"/>
    <w:rsid w:val="004B3BC5"/>
    <w:rsid w:val="004B55BC"/>
    <w:rsid w:val="004B5EE1"/>
    <w:rsid w:val="004C67E2"/>
    <w:rsid w:val="004D1C6A"/>
    <w:rsid w:val="004D4BB8"/>
    <w:rsid w:val="004D704D"/>
    <w:rsid w:val="004D77D7"/>
    <w:rsid w:val="004F4786"/>
    <w:rsid w:val="004F4DD4"/>
    <w:rsid w:val="004F6C89"/>
    <w:rsid w:val="00510DCB"/>
    <w:rsid w:val="00514FF8"/>
    <w:rsid w:val="005254BA"/>
    <w:rsid w:val="00530431"/>
    <w:rsid w:val="00530B4E"/>
    <w:rsid w:val="005328B7"/>
    <w:rsid w:val="00537F35"/>
    <w:rsid w:val="00544551"/>
    <w:rsid w:val="0056278F"/>
    <w:rsid w:val="00571A6E"/>
    <w:rsid w:val="00572DA3"/>
    <w:rsid w:val="0057387E"/>
    <w:rsid w:val="00574508"/>
    <w:rsid w:val="0057734D"/>
    <w:rsid w:val="005816E8"/>
    <w:rsid w:val="00592DAE"/>
    <w:rsid w:val="00595493"/>
    <w:rsid w:val="005A6846"/>
    <w:rsid w:val="005B111C"/>
    <w:rsid w:val="005C36C1"/>
    <w:rsid w:val="005D02F0"/>
    <w:rsid w:val="005D6C05"/>
    <w:rsid w:val="005D7B6C"/>
    <w:rsid w:val="005F6AC3"/>
    <w:rsid w:val="00600AAE"/>
    <w:rsid w:val="00610007"/>
    <w:rsid w:val="00616C48"/>
    <w:rsid w:val="00620C5D"/>
    <w:rsid w:val="0062593B"/>
    <w:rsid w:val="00626D7F"/>
    <w:rsid w:val="00631732"/>
    <w:rsid w:val="006519D8"/>
    <w:rsid w:val="006558C3"/>
    <w:rsid w:val="00656763"/>
    <w:rsid w:val="006577B4"/>
    <w:rsid w:val="006666A0"/>
    <w:rsid w:val="00672EF1"/>
    <w:rsid w:val="0067421C"/>
    <w:rsid w:val="00681185"/>
    <w:rsid w:val="006860C3"/>
    <w:rsid w:val="00693C9C"/>
    <w:rsid w:val="00696857"/>
    <w:rsid w:val="006B1436"/>
    <w:rsid w:val="006D2A7F"/>
    <w:rsid w:val="006D41E7"/>
    <w:rsid w:val="006D5977"/>
    <w:rsid w:val="006E0328"/>
    <w:rsid w:val="006E2382"/>
    <w:rsid w:val="006E6029"/>
    <w:rsid w:val="006F0334"/>
    <w:rsid w:val="006F3256"/>
    <w:rsid w:val="007019D0"/>
    <w:rsid w:val="007078FC"/>
    <w:rsid w:val="00717429"/>
    <w:rsid w:val="00722B1B"/>
    <w:rsid w:val="007252A6"/>
    <w:rsid w:val="00727964"/>
    <w:rsid w:val="007423EC"/>
    <w:rsid w:val="00742E58"/>
    <w:rsid w:val="00753E89"/>
    <w:rsid w:val="007658C0"/>
    <w:rsid w:val="00771437"/>
    <w:rsid w:val="0077402D"/>
    <w:rsid w:val="00783999"/>
    <w:rsid w:val="00793DDD"/>
    <w:rsid w:val="007A5B97"/>
    <w:rsid w:val="007A6A94"/>
    <w:rsid w:val="007A7267"/>
    <w:rsid w:val="007B0868"/>
    <w:rsid w:val="007B440C"/>
    <w:rsid w:val="007C04D1"/>
    <w:rsid w:val="007C09E1"/>
    <w:rsid w:val="007C2A30"/>
    <w:rsid w:val="007C656B"/>
    <w:rsid w:val="007C7E8D"/>
    <w:rsid w:val="007D2A8D"/>
    <w:rsid w:val="007E4702"/>
    <w:rsid w:val="007F0E7F"/>
    <w:rsid w:val="007F28AD"/>
    <w:rsid w:val="007F3969"/>
    <w:rsid w:val="007F5F1A"/>
    <w:rsid w:val="0080097C"/>
    <w:rsid w:val="0080210F"/>
    <w:rsid w:val="008028E5"/>
    <w:rsid w:val="00804F1A"/>
    <w:rsid w:val="00816F94"/>
    <w:rsid w:val="00830569"/>
    <w:rsid w:val="0083539A"/>
    <w:rsid w:val="008361BD"/>
    <w:rsid w:val="008366FE"/>
    <w:rsid w:val="00837914"/>
    <w:rsid w:val="008412C0"/>
    <w:rsid w:val="00841F53"/>
    <w:rsid w:val="00857E69"/>
    <w:rsid w:val="008673A6"/>
    <w:rsid w:val="008736CB"/>
    <w:rsid w:val="0088048D"/>
    <w:rsid w:val="00881CF5"/>
    <w:rsid w:val="00883089"/>
    <w:rsid w:val="00884D52"/>
    <w:rsid w:val="00890CFB"/>
    <w:rsid w:val="008B0D2B"/>
    <w:rsid w:val="008B684F"/>
    <w:rsid w:val="008C676A"/>
    <w:rsid w:val="008E0D6F"/>
    <w:rsid w:val="008E7EFE"/>
    <w:rsid w:val="008F203E"/>
    <w:rsid w:val="008F6D3D"/>
    <w:rsid w:val="009009A8"/>
    <w:rsid w:val="00902CFA"/>
    <w:rsid w:val="00906C3B"/>
    <w:rsid w:val="00920A98"/>
    <w:rsid w:val="00924722"/>
    <w:rsid w:val="009247E0"/>
    <w:rsid w:val="00931BA2"/>
    <w:rsid w:val="00946596"/>
    <w:rsid w:val="0094789C"/>
    <w:rsid w:val="00957232"/>
    <w:rsid w:val="00961F5E"/>
    <w:rsid w:val="009724BB"/>
    <w:rsid w:val="0097312E"/>
    <w:rsid w:val="00974DE2"/>
    <w:rsid w:val="0097555C"/>
    <w:rsid w:val="00985118"/>
    <w:rsid w:val="00990072"/>
    <w:rsid w:val="009A2D88"/>
    <w:rsid w:val="009A345D"/>
    <w:rsid w:val="009A5030"/>
    <w:rsid w:val="009A605E"/>
    <w:rsid w:val="009B1087"/>
    <w:rsid w:val="009B4E51"/>
    <w:rsid w:val="009C27B5"/>
    <w:rsid w:val="009E7685"/>
    <w:rsid w:val="009F0B4F"/>
    <w:rsid w:val="009F0B80"/>
    <w:rsid w:val="009F6F22"/>
    <w:rsid w:val="00A07C14"/>
    <w:rsid w:val="00A113FD"/>
    <w:rsid w:val="00A239DD"/>
    <w:rsid w:val="00A2678C"/>
    <w:rsid w:val="00A33922"/>
    <w:rsid w:val="00A47A3B"/>
    <w:rsid w:val="00A47CAC"/>
    <w:rsid w:val="00A52BAA"/>
    <w:rsid w:val="00A62072"/>
    <w:rsid w:val="00A667EF"/>
    <w:rsid w:val="00A8177E"/>
    <w:rsid w:val="00A855BD"/>
    <w:rsid w:val="00A86348"/>
    <w:rsid w:val="00A86483"/>
    <w:rsid w:val="00A870A6"/>
    <w:rsid w:val="00A8755D"/>
    <w:rsid w:val="00A900F2"/>
    <w:rsid w:val="00A92AFA"/>
    <w:rsid w:val="00A95CBA"/>
    <w:rsid w:val="00A96380"/>
    <w:rsid w:val="00AB05EC"/>
    <w:rsid w:val="00AB73E9"/>
    <w:rsid w:val="00AC39FC"/>
    <w:rsid w:val="00AE1577"/>
    <w:rsid w:val="00AE2577"/>
    <w:rsid w:val="00AF2832"/>
    <w:rsid w:val="00AF72BF"/>
    <w:rsid w:val="00B04858"/>
    <w:rsid w:val="00B105E7"/>
    <w:rsid w:val="00B17EC5"/>
    <w:rsid w:val="00B24DC2"/>
    <w:rsid w:val="00B3054B"/>
    <w:rsid w:val="00B330E9"/>
    <w:rsid w:val="00B51E4F"/>
    <w:rsid w:val="00B62B29"/>
    <w:rsid w:val="00B634A1"/>
    <w:rsid w:val="00B6699D"/>
    <w:rsid w:val="00B67C98"/>
    <w:rsid w:val="00B72A35"/>
    <w:rsid w:val="00B75322"/>
    <w:rsid w:val="00B756E0"/>
    <w:rsid w:val="00B830CC"/>
    <w:rsid w:val="00B85F16"/>
    <w:rsid w:val="00B90885"/>
    <w:rsid w:val="00B938B8"/>
    <w:rsid w:val="00BA74B8"/>
    <w:rsid w:val="00BB3E5F"/>
    <w:rsid w:val="00BD2DDF"/>
    <w:rsid w:val="00BD772E"/>
    <w:rsid w:val="00BE16E8"/>
    <w:rsid w:val="00BE397A"/>
    <w:rsid w:val="00BE3D79"/>
    <w:rsid w:val="00BE67DC"/>
    <w:rsid w:val="00BE71DB"/>
    <w:rsid w:val="00BF003E"/>
    <w:rsid w:val="00C01876"/>
    <w:rsid w:val="00C0624F"/>
    <w:rsid w:val="00C07845"/>
    <w:rsid w:val="00C10D1C"/>
    <w:rsid w:val="00C12421"/>
    <w:rsid w:val="00C1243B"/>
    <w:rsid w:val="00C1324D"/>
    <w:rsid w:val="00C152ED"/>
    <w:rsid w:val="00C16D6A"/>
    <w:rsid w:val="00C37AC4"/>
    <w:rsid w:val="00C53515"/>
    <w:rsid w:val="00C56664"/>
    <w:rsid w:val="00C61D2D"/>
    <w:rsid w:val="00C640DD"/>
    <w:rsid w:val="00C729B3"/>
    <w:rsid w:val="00C729DC"/>
    <w:rsid w:val="00C753EF"/>
    <w:rsid w:val="00C80C9D"/>
    <w:rsid w:val="00CA302E"/>
    <w:rsid w:val="00CB2A2C"/>
    <w:rsid w:val="00CB54A6"/>
    <w:rsid w:val="00CC0A73"/>
    <w:rsid w:val="00CD0D5B"/>
    <w:rsid w:val="00CD6AFC"/>
    <w:rsid w:val="00CE62BD"/>
    <w:rsid w:val="00CF3070"/>
    <w:rsid w:val="00CF3299"/>
    <w:rsid w:val="00D07F66"/>
    <w:rsid w:val="00D1139F"/>
    <w:rsid w:val="00D21677"/>
    <w:rsid w:val="00D2498E"/>
    <w:rsid w:val="00D30DF0"/>
    <w:rsid w:val="00D31ACD"/>
    <w:rsid w:val="00D328F8"/>
    <w:rsid w:val="00D33A59"/>
    <w:rsid w:val="00D348CC"/>
    <w:rsid w:val="00D378BA"/>
    <w:rsid w:val="00D4537A"/>
    <w:rsid w:val="00D46853"/>
    <w:rsid w:val="00D474DE"/>
    <w:rsid w:val="00D51904"/>
    <w:rsid w:val="00D56CB9"/>
    <w:rsid w:val="00D67B38"/>
    <w:rsid w:val="00D67B3C"/>
    <w:rsid w:val="00D70529"/>
    <w:rsid w:val="00D80DC6"/>
    <w:rsid w:val="00D9163E"/>
    <w:rsid w:val="00D9441B"/>
    <w:rsid w:val="00DA1570"/>
    <w:rsid w:val="00DB11A6"/>
    <w:rsid w:val="00DB51E9"/>
    <w:rsid w:val="00DB7A9C"/>
    <w:rsid w:val="00DD0435"/>
    <w:rsid w:val="00DD04F7"/>
    <w:rsid w:val="00DD2296"/>
    <w:rsid w:val="00DD4A13"/>
    <w:rsid w:val="00DD4F58"/>
    <w:rsid w:val="00DD5BE2"/>
    <w:rsid w:val="00DE05DD"/>
    <w:rsid w:val="00DE12D9"/>
    <w:rsid w:val="00DF0A61"/>
    <w:rsid w:val="00DF41D7"/>
    <w:rsid w:val="00DF7D84"/>
    <w:rsid w:val="00E00224"/>
    <w:rsid w:val="00E039DF"/>
    <w:rsid w:val="00E0503B"/>
    <w:rsid w:val="00E12BC7"/>
    <w:rsid w:val="00E136B0"/>
    <w:rsid w:val="00E1591F"/>
    <w:rsid w:val="00E15E08"/>
    <w:rsid w:val="00E25F9A"/>
    <w:rsid w:val="00E26043"/>
    <w:rsid w:val="00E3331A"/>
    <w:rsid w:val="00E33E76"/>
    <w:rsid w:val="00E426AE"/>
    <w:rsid w:val="00E428AF"/>
    <w:rsid w:val="00E44C17"/>
    <w:rsid w:val="00E54B36"/>
    <w:rsid w:val="00E56772"/>
    <w:rsid w:val="00E577A2"/>
    <w:rsid w:val="00E82F17"/>
    <w:rsid w:val="00EA0C43"/>
    <w:rsid w:val="00EA22AC"/>
    <w:rsid w:val="00EA5997"/>
    <w:rsid w:val="00EB3FBB"/>
    <w:rsid w:val="00EB62E4"/>
    <w:rsid w:val="00EB6433"/>
    <w:rsid w:val="00EC2C4F"/>
    <w:rsid w:val="00EC4E6E"/>
    <w:rsid w:val="00ED049B"/>
    <w:rsid w:val="00ED0FA4"/>
    <w:rsid w:val="00ED1D77"/>
    <w:rsid w:val="00EE00A8"/>
    <w:rsid w:val="00EE206E"/>
    <w:rsid w:val="00EE2C5C"/>
    <w:rsid w:val="00EE4618"/>
    <w:rsid w:val="00EF7938"/>
    <w:rsid w:val="00F01610"/>
    <w:rsid w:val="00F01F5E"/>
    <w:rsid w:val="00F250AF"/>
    <w:rsid w:val="00F25102"/>
    <w:rsid w:val="00F2781F"/>
    <w:rsid w:val="00F30792"/>
    <w:rsid w:val="00F46A43"/>
    <w:rsid w:val="00F47379"/>
    <w:rsid w:val="00F512A6"/>
    <w:rsid w:val="00F52FCB"/>
    <w:rsid w:val="00F66E9A"/>
    <w:rsid w:val="00F749DF"/>
    <w:rsid w:val="00F7733B"/>
    <w:rsid w:val="00F82644"/>
    <w:rsid w:val="00F844EA"/>
    <w:rsid w:val="00F90830"/>
    <w:rsid w:val="00F92E51"/>
    <w:rsid w:val="00F95EF5"/>
    <w:rsid w:val="00FA6AD7"/>
    <w:rsid w:val="00FB7BB5"/>
    <w:rsid w:val="00FC3502"/>
    <w:rsid w:val="00FC4018"/>
    <w:rsid w:val="00FC50C4"/>
    <w:rsid w:val="00FE7C26"/>
    <w:rsid w:val="00FF0266"/>
    <w:rsid w:val="00FF161E"/>
    <w:rsid w:val="00FF271B"/>
    <w:rsid w:val="00FF4964"/>
    <w:rsid w:val="00FF53C4"/>
    <w:rsid w:val="0B00567B"/>
    <w:rsid w:val="0C6A3715"/>
    <w:rsid w:val="124B2A4B"/>
    <w:rsid w:val="13531FC1"/>
    <w:rsid w:val="1AC105CB"/>
    <w:rsid w:val="1D330575"/>
    <w:rsid w:val="1D7774E0"/>
    <w:rsid w:val="1E3E2E15"/>
    <w:rsid w:val="201C7BDE"/>
    <w:rsid w:val="27403965"/>
    <w:rsid w:val="2C097A56"/>
    <w:rsid w:val="2C251BC9"/>
    <w:rsid w:val="2D551C7C"/>
    <w:rsid w:val="2F8D1393"/>
    <w:rsid w:val="33FA1144"/>
    <w:rsid w:val="41657087"/>
    <w:rsid w:val="4283130D"/>
    <w:rsid w:val="4BA44460"/>
    <w:rsid w:val="504E755D"/>
    <w:rsid w:val="511063CA"/>
    <w:rsid w:val="51E82A9E"/>
    <w:rsid w:val="52086FCE"/>
    <w:rsid w:val="544143C8"/>
    <w:rsid w:val="579A25D3"/>
    <w:rsid w:val="5FBE203C"/>
    <w:rsid w:val="62546789"/>
    <w:rsid w:val="68C6580E"/>
    <w:rsid w:val="6A8A01B0"/>
    <w:rsid w:val="70763B8C"/>
    <w:rsid w:val="731254E5"/>
    <w:rsid w:val="749048F2"/>
    <w:rsid w:val="780E69BC"/>
    <w:rsid w:val="78EC1CE7"/>
    <w:rsid w:val="7934651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5"/>
    <w:qFormat/>
    <w:uiPriority w:val="0"/>
    <w:pPr>
      <w:numPr>
        <w:ilvl w:val="0"/>
        <w:numId w:val="1"/>
      </w:numPr>
      <w:adjustRightInd w:val="0"/>
      <w:spacing w:before="200" w:after="180" w:line="360" w:lineRule="atLeast"/>
      <w:textAlignment w:val="baseline"/>
      <w:outlineLvl w:val="0"/>
    </w:pPr>
    <w:rPr>
      <w:rFonts w:ascii="Arial" w:hAnsi="Times New Roman" w:eastAsia="黑体"/>
      <w:kern w:val="44"/>
      <w:sz w:val="24"/>
      <w:szCs w:val="20"/>
    </w:rPr>
  </w:style>
  <w:style w:type="paragraph" w:styleId="3">
    <w:name w:val="heading 2"/>
    <w:basedOn w:val="1"/>
    <w:next w:val="1"/>
    <w:link w:val="26"/>
    <w:qFormat/>
    <w:uiPriority w:val="0"/>
    <w:pPr>
      <w:numPr>
        <w:ilvl w:val="1"/>
        <w:numId w:val="1"/>
      </w:numPr>
      <w:adjustRightInd w:val="0"/>
      <w:spacing w:line="360" w:lineRule="atLeast"/>
      <w:textAlignment w:val="baseline"/>
      <w:outlineLvl w:val="1"/>
    </w:pPr>
    <w:rPr>
      <w:rFonts w:ascii="Times New Roman" w:hAnsi="Times New Roman"/>
      <w:kern w:val="0"/>
      <w:sz w:val="24"/>
      <w:szCs w:val="20"/>
    </w:rPr>
  </w:style>
  <w:style w:type="paragraph" w:styleId="4">
    <w:name w:val="heading 3"/>
    <w:basedOn w:val="1"/>
    <w:next w:val="1"/>
    <w:link w:val="27"/>
    <w:qFormat/>
    <w:uiPriority w:val="9"/>
    <w:pPr>
      <w:numPr>
        <w:ilvl w:val="2"/>
        <w:numId w:val="1"/>
      </w:numPr>
      <w:adjustRightInd w:val="0"/>
      <w:spacing w:line="360" w:lineRule="atLeast"/>
      <w:textAlignment w:val="baseline"/>
      <w:outlineLvl w:val="2"/>
    </w:pPr>
    <w:rPr>
      <w:rFonts w:ascii="Times New Roman" w:hAnsi="Times New Roman"/>
      <w:kern w:val="0"/>
      <w:sz w:val="24"/>
      <w:szCs w:val="20"/>
    </w:rPr>
  </w:style>
  <w:style w:type="paragraph" w:styleId="5">
    <w:name w:val="heading 4"/>
    <w:basedOn w:val="4"/>
    <w:next w:val="1"/>
    <w:link w:val="28"/>
    <w:qFormat/>
    <w:uiPriority w:val="0"/>
    <w:pPr>
      <w:numPr>
        <w:ilvl w:val="3"/>
      </w:numPr>
      <w:outlineLvl w:val="3"/>
    </w:pPr>
  </w:style>
  <w:style w:type="paragraph" w:styleId="6">
    <w:name w:val="heading 5"/>
    <w:basedOn w:val="1"/>
    <w:next w:val="1"/>
    <w:link w:val="29"/>
    <w:qFormat/>
    <w:uiPriority w:val="9"/>
    <w:pPr>
      <w:numPr>
        <w:ilvl w:val="4"/>
        <w:numId w:val="1"/>
      </w:numPr>
      <w:adjustRightInd w:val="0"/>
      <w:spacing w:line="360" w:lineRule="atLeast"/>
      <w:textAlignment w:val="baseline"/>
      <w:outlineLvl w:val="4"/>
    </w:pPr>
    <w:rPr>
      <w:rFonts w:ascii="Times New Roman" w:hAnsi="Times New Roman"/>
      <w:kern w:val="0"/>
      <w:sz w:val="24"/>
      <w:szCs w:val="20"/>
    </w:rPr>
  </w:style>
  <w:style w:type="paragraph" w:styleId="7">
    <w:name w:val="heading 6"/>
    <w:basedOn w:val="1"/>
    <w:next w:val="1"/>
    <w:link w:val="30"/>
    <w:qFormat/>
    <w:uiPriority w:val="0"/>
    <w:pPr>
      <w:numPr>
        <w:ilvl w:val="5"/>
        <w:numId w:val="1"/>
      </w:numPr>
      <w:adjustRightInd w:val="0"/>
      <w:spacing w:line="360" w:lineRule="atLeast"/>
      <w:textAlignment w:val="baseline"/>
      <w:outlineLvl w:val="5"/>
    </w:pPr>
    <w:rPr>
      <w:rFonts w:ascii="Times New Roman" w:hAnsi="Times New Roman"/>
      <w:kern w:val="0"/>
      <w:sz w:val="24"/>
      <w:szCs w:val="20"/>
    </w:rPr>
  </w:style>
  <w:style w:type="paragraph" w:styleId="8">
    <w:name w:val="heading 7"/>
    <w:basedOn w:val="1"/>
    <w:next w:val="1"/>
    <w:link w:val="31"/>
    <w:qFormat/>
    <w:uiPriority w:val="0"/>
    <w:pPr>
      <w:numPr>
        <w:ilvl w:val="6"/>
        <w:numId w:val="1"/>
      </w:numPr>
      <w:adjustRightInd w:val="0"/>
      <w:spacing w:line="360" w:lineRule="atLeast"/>
      <w:textAlignment w:val="baseline"/>
      <w:outlineLvl w:val="6"/>
    </w:pPr>
    <w:rPr>
      <w:rFonts w:ascii="Times New Roman" w:hAnsi="Times New Roman"/>
      <w:kern w:val="0"/>
      <w:sz w:val="24"/>
      <w:szCs w:val="20"/>
    </w:rPr>
  </w:style>
  <w:style w:type="paragraph" w:styleId="9">
    <w:name w:val="heading 8"/>
    <w:basedOn w:val="1"/>
    <w:next w:val="1"/>
    <w:link w:val="32"/>
    <w:qFormat/>
    <w:uiPriority w:val="0"/>
    <w:pPr>
      <w:numPr>
        <w:ilvl w:val="7"/>
        <w:numId w:val="1"/>
      </w:numPr>
      <w:adjustRightInd w:val="0"/>
      <w:spacing w:line="360" w:lineRule="atLeast"/>
      <w:ind w:left="1893" w:hanging="714"/>
      <w:textAlignment w:val="baseline"/>
      <w:outlineLvl w:val="7"/>
    </w:pPr>
    <w:rPr>
      <w:rFonts w:ascii="Times New Roman" w:hAnsi="Times New Roman"/>
      <w:kern w:val="0"/>
      <w:sz w:val="24"/>
      <w:szCs w:val="20"/>
    </w:rPr>
  </w:style>
  <w:style w:type="paragraph" w:styleId="10">
    <w:name w:val="heading 9"/>
    <w:basedOn w:val="1"/>
    <w:next w:val="1"/>
    <w:link w:val="33"/>
    <w:qFormat/>
    <w:uiPriority w:val="0"/>
    <w:pPr>
      <w:numPr>
        <w:ilvl w:val="8"/>
        <w:numId w:val="1"/>
      </w:numPr>
      <w:adjustRightInd w:val="0"/>
      <w:spacing w:line="360" w:lineRule="atLeast"/>
      <w:ind w:left="2596" w:hanging="714"/>
      <w:textAlignment w:val="baseline"/>
      <w:outlineLvl w:val="8"/>
    </w:pPr>
    <w:rPr>
      <w:rFonts w:ascii="Times New Roman" w:hAnsi="Times New Roman"/>
      <w:kern w:val="0"/>
      <w:sz w:val="24"/>
      <w:szCs w:val="20"/>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4"/>
    <w:semiHidden/>
    <w:unhideWhenUsed/>
    <w:qFormat/>
    <w:uiPriority w:val="99"/>
    <w:pPr>
      <w:jc w:val="left"/>
    </w:pPr>
  </w:style>
  <w:style w:type="paragraph" w:styleId="12">
    <w:name w:val="Balloon Text"/>
    <w:basedOn w:val="1"/>
    <w:link w:val="36"/>
    <w:semiHidden/>
    <w:unhideWhenUsed/>
    <w:qFormat/>
    <w:uiPriority w:val="99"/>
    <w:rPr>
      <w:sz w:val="18"/>
      <w:szCs w:val="18"/>
    </w:rPr>
  </w:style>
  <w:style w:type="paragraph" w:styleId="13">
    <w:name w:val="footer"/>
    <w:basedOn w:val="1"/>
    <w:link w:val="23"/>
    <w:unhideWhenUsed/>
    <w:qFormat/>
    <w:uiPriority w:val="99"/>
    <w:pPr>
      <w:tabs>
        <w:tab w:val="center" w:pos="4153"/>
        <w:tab w:val="right" w:pos="8306"/>
      </w:tabs>
      <w:snapToGrid w:val="0"/>
      <w:jc w:val="left"/>
    </w:pPr>
    <w:rPr>
      <w:sz w:val="18"/>
      <w:szCs w:val="18"/>
    </w:rPr>
  </w:style>
  <w:style w:type="paragraph" w:styleId="14">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0"/>
    <w:pPr>
      <w:spacing w:beforeAutospacing="1" w:afterAutospacing="1"/>
      <w:jc w:val="left"/>
    </w:pPr>
    <w:rPr>
      <w:rFonts w:cs="Mangal"/>
      <w:kern w:val="0"/>
      <w:sz w:val="24"/>
      <w:lang w:bidi="hi-IN"/>
    </w:rPr>
  </w:style>
  <w:style w:type="paragraph" w:styleId="16">
    <w:name w:val="annotation subject"/>
    <w:basedOn w:val="11"/>
    <w:next w:val="11"/>
    <w:link w:val="35"/>
    <w:semiHidden/>
    <w:unhideWhenUsed/>
    <w:qFormat/>
    <w:uiPriority w:val="99"/>
    <w:rPr>
      <w:b/>
      <w:bCs/>
    </w:rPr>
  </w:style>
  <w:style w:type="character" w:styleId="19">
    <w:name w:val="Strong"/>
    <w:basedOn w:val="18"/>
    <w:qFormat/>
    <w:uiPriority w:val="0"/>
    <w:rPr>
      <w:b/>
    </w:rPr>
  </w:style>
  <w:style w:type="character" w:styleId="20">
    <w:name w:val="annotation reference"/>
    <w:basedOn w:val="18"/>
    <w:semiHidden/>
    <w:unhideWhenUsed/>
    <w:qFormat/>
    <w:uiPriority w:val="99"/>
    <w:rPr>
      <w:sz w:val="21"/>
      <w:szCs w:val="21"/>
    </w:rPr>
  </w:style>
  <w:style w:type="paragraph" w:styleId="21">
    <w:name w:val="List Paragraph"/>
    <w:basedOn w:val="1"/>
    <w:link w:val="24"/>
    <w:qFormat/>
    <w:uiPriority w:val="34"/>
    <w:pPr>
      <w:ind w:firstLine="420" w:firstLineChars="200"/>
    </w:pPr>
    <w:rPr>
      <w:lang w:val="zh-CN"/>
    </w:rPr>
  </w:style>
  <w:style w:type="character" w:customStyle="1" w:styleId="22">
    <w:name w:val="页眉 字符"/>
    <w:link w:val="14"/>
    <w:qFormat/>
    <w:uiPriority w:val="99"/>
    <w:rPr>
      <w:rFonts w:ascii="Calibri" w:hAnsi="Calibri" w:eastAsia="宋体" w:cs="Times New Roman"/>
      <w:sz w:val="18"/>
      <w:szCs w:val="18"/>
    </w:rPr>
  </w:style>
  <w:style w:type="character" w:customStyle="1" w:styleId="23">
    <w:name w:val="页脚 字符"/>
    <w:link w:val="13"/>
    <w:qFormat/>
    <w:uiPriority w:val="99"/>
    <w:rPr>
      <w:rFonts w:ascii="Calibri" w:hAnsi="Calibri" w:eastAsia="宋体" w:cs="Times New Roman"/>
      <w:sz w:val="18"/>
      <w:szCs w:val="18"/>
    </w:rPr>
  </w:style>
  <w:style w:type="character" w:customStyle="1" w:styleId="24">
    <w:name w:val="列表段落 字符"/>
    <w:link w:val="21"/>
    <w:qFormat/>
    <w:locked/>
    <w:uiPriority w:val="34"/>
    <w:rPr>
      <w:kern w:val="2"/>
      <w:sz w:val="21"/>
      <w:szCs w:val="22"/>
    </w:rPr>
  </w:style>
  <w:style w:type="character" w:customStyle="1" w:styleId="25">
    <w:name w:val="标题 1 字符"/>
    <w:link w:val="2"/>
    <w:qFormat/>
    <w:uiPriority w:val="0"/>
    <w:rPr>
      <w:rFonts w:ascii="Arial" w:hAnsi="Times New Roman" w:eastAsia="黑体"/>
      <w:kern w:val="44"/>
      <w:sz w:val="24"/>
    </w:rPr>
  </w:style>
  <w:style w:type="character" w:customStyle="1" w:styleId="26">
    <w:name w:val="标题 2 字符"/>
    <w:link w:val="3"/>
    <w:qFormat/>
    <w:uiPriority w:val="0"/>
    <w:rPr>
      <w:rFonts w:ascii="Times New Roman" w:hAnsi="Times New Roman"/>
      <w:sz w:val="24"/>
    </w:rPr>
  </w:style>
  <w:style w:type="character" w:customStyle="1" w:styleId="27">
    <w:name w:val="标题 3 字符"/>
    <w:link w:val="4"/>
    <w:qFormat/>
    <w:uiPriority w:val="9"/>
    <w:rPr>
      <w:rFonts w:ascii="Times New Roman" w:hAnsi="Times New Roman"/>
      <w:sz w:val="24"/>
    </w:rPr>
  </w:style>
  <w:style w:type="character" w:customStyle="1" w:styleId="28">
    <w:name w:val="标题 4 字符"/>
    <w:link w:val="5"/>
    <w:qFormat/>
    <w:uiPriority w:val="0"/>
    <w:rPr>
      <w:rFonts w:ascii="Times New Roman" w:hAnsi="Times New Roman"/>
      <w:sz w:val="24"/>
    </w:rPr>
  </w:style>
  <w:style w:type="character" w:customStyle="1" w:styleId="29">
    <w:name w:val="标题 5 字符"/>
    <w:link w:val="6"/>
    <w:qFormat/>
    <w:uiPriority w:val="9"/>
    <w:rPr>
      <w:rFonts w:ascii="Times New Roman" w:hAnsi="Times New Roman"/>
      <w:sz w:val="24"/>
    </w:rPr>
  </w:style>
  <w:style w:type="character" w:customStyle="1" w:styleId="30">
    <w:name w:val="标题 6 字符"/>
    <w:link w:val="7"/>
    <w:qFormat/>
    <w:uiPriority w:val="0"/>
    <w:rPr>
      <w:rFonts w:ascii="Times New Roman" w:hAnsi="Times New Roman"/>
      <w:sz w:val="24"/>
    </w:rPr>
  </w:style>
  <w:style w:type="character" w:customStyle="1" w:styleId="31">
    <w:name w:val="标题 7 字符"/>
    <w:link w:val="8"/>
    <w:qFormat/>
    <w:uiPriority w:val="0"/>
    <w:rPr>
      <w:rFonts w:ascii="Times New Roman" w:hAnsi="Times New Roman"/>
      <w:sz w:val="24"/>
    </w:rPr>
  </w:style>
  <w:style w:type="character" w:customStyle="1" w:styleId="32">
    <w:name w:val="标题 8 字符"/>
    <w:link w:val="9"/>
    <w:qFormat/>
    <w:uiPriority w:val="0"/>
    <w:rPr>
      <w:rFonts w:ascii="Times New Roman" w:hAnsi="Times New Roman"/>
      <w:sz w:val="24"/>
    </w:rPr>
  </w:style>
  <w:style w:type="character" w:customStyle="1" w:styleId="33">
    <w:name w:val="标题 9 字符"/>
    <w:link w:val="10"/>
    <w:qFormat/>
    <w:uiPriority w:val="0"/>
    <w:rPr>
      <w:rFonts w:ascii="Times New Roman" w:hAnsi="Times New Roman"/>
      <w:sz w:val="24"/>
    </w:rPr>
  </w:style>
  <w:style w:type="character" w:customStyle="1" w:styleId="34">
    <w:name w:val="批注文字 字符"/>
    <w:basedOn w:val="18"/>
    <w:link w:val="11"/>
    <w:semiHidden/>
    <w:qFormat/>
    <w:uiPriority w:val="99"/>
    <w:rPr>
      <w:rFonts w:ascii="Calibri" w:hAnsi="Calibri"/>
      <w:kern w:val="2"/>
      <w:sz w:val="21"/>
      <w:szCs w:val="22"/>
      <w:lang w:bidi="ar-SA"/>
    </w:rPr>
  </w:style>
  <w:style w:type="character" w:customStyle="1" w:styleId="35">
    <w:name w:val="批注主题 字符"/>
    <w:basedOn w:val="34"/>
    <w:link w:val="16"/>
    <w:semiHidden/>
    <w:qFormat/>
    <w:uiPriority w:val="99"/>
    <w:rPr>
      <w:rFonts w:ascii="Calibri" w:hAnsi="Calibri"/>
      <w:b/>
      <w:bCs/>
      <w:kern w:val="2"/>
      <w:sz w:val="21"/>
      <w:szCs w:val="22"/>
      <w:lang w:bidi="ar-SA"/>
    </w:rPr>
  </w:style>
  <w:style w:type="character" w:customStyle="1" w:styleId="36">
    <w:name w:val="批注框文本 字符"/>
    <w:basedOn w:val="18"/>
    <w:link w:val="12"/>
    <w:semiHidden/>
    <w:qFormat/>
    <w:uiPriority w:val="99"/>
    <w:rPr>
      <w:rFonts w:ascii="Calibri" w:hAnsi="Calibri"/>
      <w:kern w:val="2"/>
      <w:sz w:val="18"/>
      <w:szCs w:val="18"/>
      <w:lang w:bidi="ar-SA"/>
    </w:rPr>
  </w:style>
  <w:style w:type="character" w:customStyle="1" w:styleId="37">
    <w:name w:val="font121"/>
    <w:basedOn w:val="18"/>
    <w:qFormat/>
    <w:uiPriority w:val="0"/>
    <w:rPr>
      <w:rFonts w:hint="eastAsia" w:ascii="宋体" w:hAnsi="宋体" w:eastAsia="宋体" w:cs="宋体"/>
      <w:b/>
      <w:bCs/>
      <w:color w:val="000000"/>
      <w:sz w:val="20"/>
      <w:szCs w:val="20"/>
      <w:u w:val="none"/>
    </w:rPr>
  </w:style>
  <w:style w:type="character" w:customStyle="1" w:styleId="38">
    <w:name w:val="font91"/>
    <w:basedOn w:val="18"/>
    <w:qFormat/>
    <w:uiPriority w:val="0"/>
    <w:rPr>
      <w:rFonts w:hint="eastAsia" w:ascii="宋体" w:hAnsi="宋体" w:eastAsia="宋体" w:cs="宋体"/>
      <w:color w:val="000000"/>
      <w:sz w:val="20"/>
      <w:szCs w:val="20"/>
      <w:u w:val="none"/>
    </w:rPr>
  </w:style>
  <w:style w:type="character" w:customStyle="1" w:styleId="39">
    <w:name w:val="font112"/>
    <w:basedOn w:val="18"/>
    <w:qFormat/>
    <w:uiPriority w:val="0"/>
    <w:rPr>
      <w:rFonts w:hint="default" w:ascii="Times New Roman" w:hAnsi="Times New Roman" w:cs="Times New Roman"/>
      <w:b/>
      <w:bCs/>
      <w:color w:val="000000"/>
      <w:sz w:val="24"/>
      <w:szCs w:val="24"/>
      <w:u w:val="none"/>
    </w:rPr>
  </w:style>
  <w:style w:type="character" w:customStyle="1" w:styleId="40">
    <w:name w:val="font101"/>
    <w:basedOn w:val="18"/>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Shisu</Company>
  <Pages>4</Pages>
  <Words>2203</Words>
  <Characters>2304</Characters>
  <Lines>22</Lines>
  <Paragraphs>6</Paragraphs>
  <TotalTime>14</TotalTime>
  <ScaleCrop>false</ScaleCrop>
  <LinksUpToDate>false</LinksUpToDate>
  <CharactersWithSpaces>2305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2025-09-12T11:10:00Z</dcterms:created>
  <dc:creator>杨帆</dc:creator>
  <cp:lastModifiedBy>吴珉玥</cp:lastModifiedBy>
  <dcterms:modified xsi:type="dcterms:W3CDTF">2026-10-28T01:21:26Z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eyJoZGlkIjoiMmI0ZTc1YTI5NjFiZTI0MWExYmFiYTNmOTViOGZkMmUiLCJ1c2VySWQiOiIxNjg1MjA1NjUwIn0=</vt:lpwstr>
  </property>
  <property fmtid="{D5CDD505-2E9C-101B-9397-08002B2CF9AE}" pid="3" name="KSOProductBuildVer">
    <vt:lpwstr>2052-12.1.0.28505</vt:lpwstr>
  </property>
  <property fmtid="{D5CDD505-2E9C-101B-9397-08002B2CF9AE}" pid="4" name="ICV">
    <vt:lpwstr>7F070198853C4DA1BC52825CCC5787A0_13</vt:lpwstr>
  </property>
</Properties>
</file>