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37675">
      <w:pPr>
        <w:jc w:val="center"/>
        <w:rPr>
          <w:rFonts w:hint="eastAsia" w:eastAsia="宋体"/>
          <w:b/>
          <w:sz w:val="32"/>
          <w:szCs w:val="32"/>
          <w:lang w:eastAsia="zh-CN"/>
        </w:rPr>
      </w:pPr>
      <w:r>
        <w:rPr>
          <w:rFonts w:hint="eastAsia"/>
          <w:b/>
          <w:sz w:val="32"/>
          <w:szCs w:val="32"/>
        </w:rPr>
        <w:t>语言数据与人工智能大学生创新实践基地办公家具采购项目需求</w:t>
      </w:r>
      <w:r>
        <w:rPr>
          <w:rFonts w:hint="eastAsia"/>
          <w:b/>
          <w:sz w:val="32"/>
          <w:szCs w:val="32"/>
          <w:lang w:val="en-US" w:eastAsia="zh-CN"/>
        </w:rPr>
        <w:t>文件</w:t>
      </w:r>
    </w:p>
    <w:p w14:paraId="18E4448B">
      <w:pPr>
        <w:jc w:val="left"/>
        <w:rPr>
          <w:b/>
          <w:sz w:val="24"/>
          <w:szCs w:val="24"/>
        </w:rPr>
      </w:pPr>
    </w:p>
    <w:p w14:paraId="08263A67">
      <w:pPr>
        <w:pStyle w:val="14"/>
        <w:numPr>
          <w:ilvl w:val="0"/>
          <w:numId w:val="1"/>
        </w:numPr>
        <w:spacing w:line="360" w:lineRule="auto"/>
        <w:ind w:left="482" w:hanging="482" w:hangingChars="200"/>
        <w:jc w:val="left"/>
        <w:rPr>
          <w:rFonts w:ascii="宋体" w:hAnsi="宋体"/>
          <w:b/>
          <w:sz w:val="24"/>
          <w:szCs w:val="24"/>
        </w:rPr>
      </w:pPr>
      <w:r>
        <w:rPr>
          <w:rFonts w:ascii="宋体" w:hAnsi="宋体"/>
          <w:b/>
          <w:sz w:val="24"/>
          <w:szCs w:val="24"/>
        </w:rPr>
        <w:t>总体要求</w:t>
      </w:r>
    </w:p>
    <w:p w14:paraId="3D9B33D8">
      <w:pPr>
        <w:pStyle w:val="14"/>
        <w:numPr>
          <w:ilvl w:val="0"/>
          <w:numId w:val="2"/>
        </w:numPr>
        <w:spacing w:line="360" w:lineRule="auto"/>
        <w:ind w:left="480" w:hanging="480" w:hangingChars="200"/>
        <w:jc w:val="left"/>
        <w:rPr>
          <w:rFonts w:ascii="宋体" w:hAnsi="宋体"/>
          <w:sz w:val="24"/>
          <w:szCs w:val="24"/>
        </w:rPr>
      </w:pPr>
      <w:r>
        <w:rPr>
          <w:rFonts w:ascii="宋体" w:hAnsi="宋体"/>
          <w:sz w:val="24"/>
          <w:szCs w:val="24"/>
        </w:rPr>
        <w:t>经费来源</w:t>
      </w:r>
    </w:p>
    <w:tbl>
      <w:tblPr>
        <w:tblStyle w:val="9"/>
        <w:tblW w:w="6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6232"/>
      </w:tblGrid>
      <w:tr w14:paraId="721A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0620C8AD">
            <w:pPr>
              <w:jc w:val="left"/>
              <w:rPr>
                <w:rFonts w:ascii="宋体" w:hAnsi="宋体"/>
                <w:szCs w:val="21"/>
              </w:rPr>
            </w:pPr>
            <w:r>
              <w:rPr>
                <w:rFonts w:ascii="宋体" w:hAnsi="宋体"/>
                <w:szCs w:val="21"/>
              </w:rPr>
              <w:sym w:font="Wingdings 2" w:char="00A3"/>
            </w:r>
          </w:p>
        </w:tc>
        <w:tc>
          <w:tcPr>
            <w:tcW w:w="6232" w:type="dxa"/>
            <w:vAlign w:val="center"/>
          </w:tcPr>
          <w:p w14:paraId="32BF5B35">
            <w:pPr>
              <w:jc w:val="left"/>
              <w:rPr>
                <w:rFonts w:ascii="宋体" w:hAnsi="宋体"/>
                <w:szCs w:val="21"/>
              </w:rPr>
            </w:pPr>
            <w:r>
              <w:rPr>
                <w:rFonts w:ascii="宋体" w:hAnsi="宋体"/>
                <w:szCs w:val="21"/>
              </w:rPr>
              <w:t>教育部修购经费</w:t>
            </w:r>
          </w:p>
        </w:tc>
      </w:tr>
      <w:tr w14:paraId="06CE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08A6D97E">
            <w:pPr>
              <w:jc w:val="left"/>
              <w:rPr>
                <w:rFonts w:ascii="宋体" w:hAnsi="宋体"/>
                <w:szCs w:val="21"/>
              </w:rPr>
            </w:pPr>
            <w:r>
              <w:rPr>
                <w:rFonts w:ascii="宋体" w:hAnsi="宋体"/>
                <w:szCs w:val="21"/>
              </w:rPr>
              <w:t>□</w:t>
            </w:r>
          </w:p>
        </w:tc>
        <w:tc>
          <w:tcPr>
            <w:tcW w:w="6232" w:type="dxa"/>
            <w:vAlign w:val="center"/>
          </w:tcPr>
          <w:p w14:paraId="03F27066">
            <w:pPr>
              <w:jc w:val="left"/>
              <w:rPr>
                <w:rFonts w:ascii="宋体" w:hAnsi="宋体"/>
                <w:szCs w:val="21"/>
              </w:rPr>
            </w:pPr>
            <w:r>
              <w:rPr>
                <w:rFonts w:ascii="宋体" w:hAnsi="宋体"/>
                <w:szCs w:val="21"/>
              </w:rPr>
              <w:t>教学设备费</w:t>
            </w:r>
          </w:p>
        </w:tc>
      </w:tr>
      <w:tr w14:paraId="6981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3FE92429">
            <w:pPr>
              <w:jc w:val="left"/>
              <w:rPr>
                <w:rFonts w:ascii="宋体" w:hAnsi="宋体"/>
                <w:szCs w:val="21"/>
              </w:rPr>
            </w:pPr>
            <w:r>
              <w:rPr>
                <w:rFonts w:ascii="宋体" w:hAnsi="宋体"/>
                <w:szCs w:val="21"/>
              </w:rPr>
              <w:t>□</w:t>
            </w:r>
          </w:p>
        </w:tc>
        <w:tc>
          <w:tcPr>
            <w:tcW w:w="6232" w:type="dxa"/>
            <w:vAlign w:val="center"/>
          </w:tcPr>
          <w:p w14:paraId="6E1CFF79">
            <w:pPr>
              <w:jc w:val="left"/>
              <w:rPr>
                <w:rFonts w:ascii="宋体" w:hAnsi="宋体"/>
                <w:szCs w:val="21"/>
              </w:rPr>
            </w:pPr>
            <w:r>
              <w:rPr>
                <w:rFonts w:ascii="宋体" w:hAnsi="宋体"/>
                <w:szCs w:val="21"/>
              </w:rPr>
              <w:t>行政设备费</w:t>
            </w:r>
          </w:p>
        </w:tc>
      </w:tr>
      <w:tr w14:paraId="54E8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3310C0A9">
            <w:pPr>
              <w:jc w:val="left"/>
              <w:rPr>
                <w:rFonts w:ascii="宋体" w:hAnsi="宋体"/>
                <w:szCs w:val="21"/>
              </w:rPr>
            </w:pPr>
            <w:r>
              <w:rPr>
                <w:rFonts w:hint="eastAsia" w:ascii="宋体" w:hAnsi="宋体"/>
                <w:szCs w:val="21"/>
              </w:rPr>
              <w:t>☑</w:t>
            </w:r>
          </w:p>
        </w:tc>
        <w:tc>
          <w:tcPr>
            <w:tcW w:w="6232" w:type="dxa"/>
            <w:vAlign w:val="center"/>
          </w:tcPr>
          <w:p w14:paraId="24BBD509">
            <w:pPr>
              <w:jc w:val="left"/>
              <w:rPr>
                <w:rFonts w:ascii="宋体" w:hAnsi="宋体"/>
                <w:szCs w:val="21"/>
              </w:rPr>
            </w:pPr>
            <w:r>
              <w:rPr>
                <w:rFonts w:ascii="宋体" w:hAnsi="宋体"/>
                <w:szCs w:val="21"/>
              </w:rPr>
              <w:t xml:space="preserve">其他专项经费请注明： </w:t>
            </w:r>
          </w:p>
        </w:tc>
      </w:tr>
    </w:tbl>
    <w:p w14:paraId="3AD6889F">
      <w:pPr>
        <w:pStyle w:val="14"/>
        <w:numPr>
          <w:ilvl w:val="0"/>
          <w:numId w:val="2"/>
        </w:numPr>
        <w:spacing w:line="360" w:lineRule="auto"/>
        <w:ind w:firstLineChars="0"/>
        <w:jc w:val="left"/>
        <w:rPr>
          <w:rFonts w:ascii="宋体" w:hAnsi="宋体"/>
          <w:sz w:val="24"/>
          <w:szCs w:val="24"/>
        </w:rPr>
      </w:pPr>
      <w:r>
        <w:rPr>
          <w:rFonts w:hint="eastAsia" w:ascii="宋体" w:hAnsi="宋体"/>
          <w:sz w:val="24"/>
          <w:szCs w:val="24"/>
        </w:rPr>
        <w:t>设计方案</w:t>
      </w:r>
    </w:p>
    <w:p w14:paraId="0B83385D">
      <w:pPr>
        <w:widowControl/>
        <w:ind w:left="1679" w:leftChars="114" w:hanging="1440" w:hangingChars="600"/>
        <w:jc w:val="left"/>
      </w:pPr>
      <w:r>
        <w:rPr>
          <w:rFonts w:ascii="宋体" w:hAnsi="宋体" w:cs="宋体"/>
          <w:kern w:val="0"/>
          <w:sz w:val="24"/>
          <w:szCs w:val="24"/>
          <w:lang w:bidi="ar"/>
        </w:rPr>
        <w:t>开放办公区：员工工位桌椅（尺寸、功能、舒适度）、文件柜、公共休息座椅等，明确工位数量及配套家具配置标准；</w:t>
      </w:r>
    </w:p>
    <w:p w14:paraId="0E9DC3A2">
      <w:pPr>
        <w:widowControl/>
        <w:ind w:left="1437" w:leftChars="113" w:hanging="1200" w:hangingChars="500"/>
        <w:jc w:val="left"/>
      </w:pPr>
      <w:r>
        <w:rPr>
          <w:rFonts w:ascii="宋体" w:hAnsi="宋体" w:cs="宋体"/>
          <w:kern w:val="0"/>
          <w:sz w:val="24"/>
          <w:szCs w:val="24"/>
          <w:lang w:bidi="ar"/>
        </w:rPr>
        <w:t>独立办公室（管理层/核心岗位）：办公桌、办公椅、书柜、沙发、茶几、文件柜等，按办公室数量及岗位级别确定配置标准；</w:t>
      </w:r>
    </w:p>
    <w:p w14:paraId="7AB3A741">
      <w:pPr>
        <w:widowControl/>
        <w:ind w:left="1178" w:leftChars="104" w:hanging="960" w:hangingChars="400"/>
        <w:jc w:val="left"/>
      </w:pPr>
      <w:r>
        <w:rPr>
          <w:rFonts w:ascii="宋体" w:hAnsi="宋体" w:cs="宋体"/>
          <w:kern w:val="0"/>
          <w:sz w:val="24"/>
          <w:szCs w:val="24"/>
          <w:lang w:bidi="ar"/>
        </w:rPr>
        <w:t>会议室：会议桌、会议椅、白板、茶水柜等（按会议室大小、使用频次、参会人数确定选型及数量）；</w:t>
      </w:r>
    </w:p>
    <w:p w14:paraId="095E9D38">
      <w:pPr>
        <w:widowControl/>
        <w:ind w:left="1178" w:leftChars="104" w:hanging="960" w:hangingChars="400"/>
        <w:jc w:val="left"/>
      </w:pPr>
      <w:r>
        <w:rPr>
          <w:rFonts w:ascii="宋体" w:hAnsi="宋体" w:cs="宋体"/>
          <w:kern w:val="0"/>
          <w:sz w:val="24"/>
          <w:szCs w:val="24"/>
          <w:lang w:bidi="ar"/>
        </w:rPr>
        <w:t>接待区：接待沙发、茶几、展示柜、绿植花架、签到桌等（贴合品牌形象，明确接待容量及配套家具数量）；</w:t>
      </w:r>
    </w:p>
    <w:p w14:paraId="5269D3E7">
      <w:pPr>
        <w:widowControl/>
        <w:ind w:left="1418" w:leftChars="104" w:hanging="1200" w:hangingChars="500"/>
        <w:jc w:val="left"/>
      </w:pPr>
      <w:r>
        <w:rPr>
          <w:rFonts w:ascii="宋体" w:hAnsi="宋体" w:cs="宋体"/>
          <w:kern w:val="0"/>
          <w:sz w:val="24"/>
          <w:szCs w:val="24"/>
          <w:lang w:bidi="ar"/>
        </w:rPr>
        <w:t>辅助区域：茶水间（茶水柜、储物柜、休闲座椅、水槽配套家具）、储藏室（货架、储物柜）、走廊（置物架、指示牌）等，确保辅助区域家具全覆盖；</w:t>
      </w:r>
    </w:p>
    <w:p w14:paraId="40A0238F">
      <w:pPr>
        <w:widowControl/>
        <w:ind w:left="1418" w:leftChars="104" w:hanging="1200" w:hangingChars="500"/>
        <w:jc w:val="left"/>
      </w:pPr>
      <w:r>
        <w:rPr>
          <w:rFonts w:ascii="宋体" w:hAnsi="宋体" w:cs="宋体"/>
          <w:kern w:val="0"/>
          <w:sz w:val="24"/>
          <w:szCs w:val="24"/>
          <w:lang w:bidi="ar"/>
        </w:rPr>
        <w:t>特殊区域：财务室（保密文件柜、防窥办公桌）、技术岗（专用工作台、设备储物柜）等，按特殊岗位需求确定专属家具选型</w:t>
      </w:r>
    </w:p>
    <w:p w14:paraId="22948B66">
      <w:pPr>
        <w:pStyle w:val="14"/>
        <w:spacing w:line="360" w:lineRule="auto"/>
        <w:ind w:firstLine="480"/>
        <w:jc w:val="left"/>
        <w:rPr>
          <w:rFonts w:ascii="宋体" w:hAnsi="宋体"/>
          <w:sz w:val="24"/>
          <w:szCs w:val="24"/>
        </w:rPr>
      </w:pPr>
    </w:p>
    <w:p w14:paraId="722952B7">
      <w:pPr>
        <w:spacing w:line="360" w:lineRule="auto"/>
        <w:jc w:val="left"/>
        <w:rPr>
          <w:rFonts w:ascii="宋体" w:hAnsi="宋体"/>
          <w:sz w:val="24"/>
          <w:szCs w:val="24"/>
        </w:rPr>
      </w:pPr>
    </w:p>
    <w:p w14:paraId="36572813">
      <w:pPr>
        <w:rPr>
          <w:rFonts w:ascii="宋体" w:hAnsi="宋体"/>
          <w:sz w:val="24"/>
          <w:szCs w:val="24"/>
        </w:rPr>
      </w:pPr>
      <w:r>
        <w:rPr>
          <w:rFonts w:ascii="宋体" w:hAnsi="宋体"/>
          <w:sz w:val="24"/>
          <w:szCs w:val="24"/>
        </w:rPr>
        <w:br w:type="page"/>
      </w:r>
    </w:p>
    <w:p w14:paraId="48A92277">
      <w:pPr>
        <w:pStyle w:val="14"/>
        <w:numPr>
          <w:ilvl w:val="0"/>
          <w:numId w:val="1"/>
        </w:numPr>
        <w:spacing w:line="360" w:lineRule="auto"/>
        <w:ind w:firstLineChars="0"/>
        <w:jc w:val="left"/>
        <w:rPr>
          <w:rFonts w:ascii="宋体" w:hAnsi="宋体"/>
          <w:b/>
          <w:sz w:val="24"/>
          <w:szCs w:val="24"/>
        </w:rPr>
      </w:pPr>
      <w:r>
        <w:rPr>
          <w:rFonts w:ascii="宋体" w:hAnsi="宋体"/>
          <w:b/>
          <w:sz w:val="24"/>
          <w:szCs w:val="24"/>
        </w:rPr>
        <w:t>设备规格参数及预算（如有进口商品，请注明进口）</w:t>
      </w:r>
    </w:p>
    <w:p w14:paraId="1B9C0699">
      <w:pPr>
        <w:pStyle w:val="14"/>
        <w:numPr>
          <w:ilvl w:val="0"/>
          <w:numId w:val="3"/>
        </w:numPr>
        <w:spacing w:line="360" w:lineRule="auto"/>
        <w:ind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家具部分</w:t>
      </w:r>
    </w:p>
    <w:tbl>
      <w:tblPr>
        <w:tblStyle w:val="9"/>
        <w:tblW w:w="8556" w:type="dxa"/>
        <w:tblInd w:w="98" w:type="dxa"/>
        <w:tblLayout w:type="autofit"/>
        <w:tblCellMar>
          <w:top w:w="0" w:type="dxa"/>
          <w:left w:w="108" w:type="dxa"/>
          <w:bottom w:w="0" w:type="dxa"/>
          <w:right w:w="108" w:type="dxa"/>
        </w:tblCellMar>
      </w:tblPr>
      <w:tblGrid>
        <w:gridCol w:w="2406"/>
        <w:gridCol w:w="2556"/>
        <w:gridCol w:w="2073"/>
        <w:gridCol w:w="1521"/>
      </w:tblGrid>
      <w:tr w14:paraId="23A6D20C">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022A">
            <w:pPr>
              <w:widowControl/>
              <w:jc w:val="center"/>
              <w:textAlignment w:val="center"/>
              <w:rPr>
                <w:rFonts w:ascii="宋体" w:hAnsi="宋体" w:cs="宋体"/>
                <w:color w:val="000000"/>
                <w:sz w:val="22"/>
              </w:rPr>
            </w:pPr>
            <w:r>
              <w:rPr>
                <w:rFonts w:hint="eastAsia" w:ascii="宋体" w:hAnsi="宋体" w:cs="宋体"/>
                <w:color w:val="000000"/>
                <w:kern w:val="0"/>
                <w:sz w:val="22"/>
                <w:lang w:bidi="ar"/>
              </w:rPr>
              <w:t>名称</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76B5">
            <w:pPr>
              <w:widowControl/>
              <w:jc w:val="center"/>
              <w:textAlignment w:val="center"/>
              <w:rPr>
                <w:rFonts w:ascii="宋体" w:hAnsi="宋体" w:cs="宋体"/>
                <w:color w:val="000000"/>
                <w:sz w:val="22"/>
              </w:rPr>
            </w:pPr>
            <w:r>
              <w:rPr>
                <w:rFonts w:hint="eastAsia" w:ascii="宋体" w:hAnsi="宋体" w:cs="宋体"/>
                <w:color w:val="000000"/>
                <w:kern w:val="0"/>
                <w:sz w:val="22"/>
                <w:lang w:bidi="ar"/>
              </w:rPr>
              <w:t>尺寸</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4D3E">
            <w:pPr>
              <w:widowControl/>
              <w:jc w:val="center"/>
              <w:textAlignment w:val="center"/>
              <w:rPr>
                <w:rFonts w:ascii="宋体" w:hAnsi="宋体" w:cs="宋体"/>
                <w:color w:val="000000"/>
                <w:sz w:val="22"/>
              </w:rPr>
            </w:pPr>
            <w:r>
              <w:rPr>
                <w:rFonts w:hint="eastAsia" w:ascii="宋体" w:hAnsi="宋体" w:cs="宋体"/>
                <w:color w:val="000000"/>
                <w:kern w:val="0"/>
                <w:sz w:val="22"/>
                <w:lang w:bidi="ar"/>
              </w:rPr>
              <w:t>数量</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51D5">
            <w:pPr>
              <w:widowControl/>
              <w:jc w:val="center"/>
              <w:textAlignment w:val="center"/>
              <w:rPr>
                <w:rFonts w:ascii="宋体" w:hAnsi="宋体" w:cs="宋体"/>
                <w:color w:val="000000"/>
                <w:sz w:val="22"/>
              </w:rPr>
            </w:pPr>
            <w:r>
              <w:rPr>
                <w:rFonts w:hint="eastAsia" w:ascii="宋体" w:hAnsi="宋体" w:cs="宋体"/>
                <w:color w:val="000000"/>
                <w:kern w:val="0"/>
                <w:sz w:val="22"/>
                <w:lang w:bidi="ar"/>
              </w:rPr>
              <w:t>备注</w:t>
            </w:r>
          </w:p>
        </w:tc>
      </w:tr>
      <w:tr w14:paraId="2C885525">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075A">
            <w:pPr>
              <w:widowControl/>
              <w:jc w:val="center"/>
              <w:textAlignment w:val="center"/>
              <w:rPr>
                <w:rFonts w:ascii="宋体" w:hAnsi="宋体" w:cs="宋体"/>
                <w:color w:val="000000"/>
                <w:sz w:val="22"/>
              </w:rPr>
            </w:pPr>
            <w:r>
              <w:rPr>
                <w:rFonts w:hint="eastAsia" w:ascii="宋体" w:hAnsi="宋体" w:cs="宋体"/>
                <w:color w:val="000000"/>
                <w:kern w:val="0"/>
                <w:sz w:val="22"/>
                <w:lang w:bidi="ar"/>
              </w:rPr>
              <w:t>总经理室办公桌面</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5E79">
            <w:pPr>
              <w:widowControl/>
              <w:jc w:val="center"/>
              <w:textAlignment w:val="center"/>
              <w:rPr>
                <w:rFonts w:ascii="宋体" w:hAnsi="宋体" w:cs="宋体"/>
                <w:color w:val="000000"/>
                <w:sz w:val="22"/>
              </w:rPr>
            </w:pPr>
            <w:r>
              <w:rPr>
                <w:rFonts w:hint="eastAsia" w:ascii="宋体" w:hAnsi="宋体" w:cs="宋体"/>
                <w:color w:val="000000"/>
                <w:kern w:val="0"/>
                <w:sz w:val="22"/>
                <w:lang w:bidi="ar"/>
              </w:rPr>
              <w:t>2000*900*750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EB3E">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7E9B">
            <w:pPr>
              <w:jc w:val="center"/>
              <w:rPr>
                <w:rFonts w:ascii="宋体" w:hAnsi="宋体" w:cs="宋体"/>
                <w:color w:val="000000"/>
                <w:sz w:val="22"/>
              </w:rPr>
            </w:pPr>
          </w:p>
        </w:tc>
      </w:tr>
      <w:tr w14:paraId="66AA42D3">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F256">
            <w:pPr>
              <w:widowControl/>
              <w:jc w:val="center"/>
              <w:textAlignment w:val="center"/>
              <w:rPr>
                <w:rFonts w:ascii="宋体" w:hAnsi="宋体" w:cs="宋体"/>
                <w:color w:val="000000"/>
                <w:sz w:val="22"/>
              </w:rPr>
            </w:pPr>
            <w:r>
              <w:rPr>
                <w:rFonts w:hint="eastAsia" w:ascii="宋体" w:hAnsi="宋体" w:cs="宋体"/>
                <w:color w:val="000000"/>
                <w:kern w:val="0"/>
                <w:sz w:val="22"/>
                <w:lang w:bidi="ar"/>
              </w:rPr>
              <w:t>总经理室办公桌边柜</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B76F">
            <w:pPr>
              <w:widowControl/>
              <w:jc w:val="center"/>
              <w:textAlignment w:val="center"/>
              <w:rPr>
                <w:rFonts w:ascii="宋体" w:hAnsi="宋体" w:cs="宋体"/>
                <w:color w:val="000000"/>
                <w:sz w:val="22"/>
              </w:rPr>
            </w:pPr>
            <w:r>
              <w:rPr>
                <w:rFonts w:hint="eastAsia" w:ascii="宋体" w:hAnsi="宋体" w:cs="宋体"/>
                <w:color w:val="000000"/>
                <w:kern w:val="0"/>
                <w:sz w:val="22"/>
                <w:lang w:bidi="ar"/>
              </w:rPr>
              <w:t>2000*900*750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33B9">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7FF2">
            <w:pPr>
              <w:jc w:val="center"/>
              <w:rPr>
                <w:rFonts w:ascii="宋体" w:hAnsi="宋体" w:cs="宋体"/>
                <w:color w:val="000000"/>
                <w:sz w:val="22"/>
              </w:rPr>
            </w:pPr>
          </w:p>
        </w:tc>
      </w:tr>
      <w:tr w14:paraId="45F7E298">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5FA8">
            <w:pPr>
              <w:widowControl/>
              <w:jc w:val="center"/>
              <w:textAlignment w:val="center"/>
              <w:rPr>
                <w:rFonts w:ascii="宋体" w:hAnsi="宋体" w:cs="宋体"/>
                <w:color w:val="000000"/>
                <w:sz w:val="22"/>
              </w:rPr>
            </w:pPr>
            <w:r>
              <w:rPr>
                <w:rFonts w:hint="eastAsia" w:ascii="宋体" w:hAnsi="宋体" w:cs="宋体"/>
                <w:color w:val="000000"/>
                <w:kern w:val="0"/>
                <w:sz w:val="22"/>
                <w:lang w:bidi="ar"/>
              </w:rPr>
              <w:t>办公椅</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64A8">
            <w:pPr>
              <w:widowControl/>
              <w:jc w:val="center"/>
              <w:textAlignment w:val="center"/>
              <w:rPr>
                <w:rFonts w:ascii="宋体" w:hAnsi="宋体" w:cs="宋体"/>
                <w:color w:val="000000"/>
                <w:sz w:val="22"/>
              </w:rPr>
            </w:pPr>
            <w:r>
              <w:rPr>
                <w:rFonts w:ascii="宋体" w:hAnsi="宋体" w:cs="宋体"/>
                <w:sz w:val="24"/>
                <w:szCs w:val="24"/>
              </w:rPr>
              <w:t>座宽≥50cm、座深 42-45cm</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A2A2">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32B0">
            <w:pPr>
              <w:jc w:val="center"/>
              <w:rPr>
                <w:rFonts w:ascii="宋体" w:hAnsi="宋体" w:cs="宋体"/>
                <w:color w:val="000000"/>
                <w:sz w:val="22"/>
              </w:rPr>
            </w:pPr>
          </w:p>
        </w:tc>
      </w:tr>
      <w:tr w14:paraId="7254B41B">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A4A3">
            <w:pPr>
              <w:widowControl/>
              <w:jc w:val="center"/>
              <w:textAlignment w:val="center"/>
              <w:rPr>
                <w:rFonts w:ascii="宋体" w:hAnsi="宋体" w:cs="宋体"/>
                <w:color w:val="000000"/>
                <w:sz w:val="22"/>
              </w:rPr>
            </w:pPr>
            <w:r>
              <w:rPr>
                <w:rFonts w:hint="eastAsia" w:ascii="宋体" w:hAnsi="宋体" w:cs="宋体"/>
                <w:color w:val="000000"/>
                <w:kern w:val="0"/>
                <w:sz w:val="22"/>
                <w:lang w:bidi="ar"/>
              </w:rPr>
              <w:t>沙发</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EF53">
            <w:pPr>
              <w:widowControl/>
              <w:jc w:val="center"/>
              <w:textAlignment w:val="center"/>
              <w:rPr>
                <w:rFonts w:ascii="宋体" w:hAnsi="宋体" w:cs="宋体"/>
                <w:color w:val="000000"/>
                <w:sz w:val="22"/>
              </w:rPr>
            </w:pPr>
            <w:r>
              <w:rPr>
                <w:rFonts w:hint="eastAsia" w:ascii="宋体" w:hAnsi="宋体" w:cs="宋体"/>
                <w:color w:val="000000"/>
                <w:kern w:val="0"/>
                <w:sz w:val="22"/>
                <w:lang w:bidi="ar"/>
              </w:rPr>
              <w:t>1000*850*850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6F5D">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C9F6">
            <w:pPr>
              <w:jc w:val="center"/>
              <w:rPr>
                <w:rFonts w:ascii="宋体" w:hAnsi="宋体" w:cs="宋体"/>
                <w:color w:val="000000"/>
                <w:sz w:val="22"/>
              </w:rPr>
            </w:pPr>
          </w:p>
        </w:tc>
      </w:tr>
      <w:tr w14:paraId="703563DE">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A51E">
            <w:pPr>
              <w:widowControl/>
              <w:jc w:val="center"/>
              <w:textAlignment w:val="center"/>
              <w:rPr>
                <w:rFonts w:ascii="宋体" w:hAnsi="宋体" w:cs="宋体"/>
                <w:color w:val="000000"/>
                <w:sz w:val="22"/>
              </w:rPr>
            </w:pPr>
            <w:r>
              <w:rPr>
                <w:rFonts w:hint="eastAsia" w:ascii="宋体" w:hAnsi="宋体" w:cs="宋体"/>
                <w:color w:val="000000"/>
                <w:kern w:val="0"/>
                <w:sz w:val="22"/>
                <w:lang w:bidi="ar"/>
              </w:rPr>
              <w:t>会议桌</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8EF8">
            <w:pPr>
              <w:widowControl/>
              <w:jc w:val="center"/>
              <w:textAlignment w:val="center"/>
              <w:rPr>
                <w:rFonts w:ascii="宋体" w:hAnsi="宋体" w:cs="宋体"/>
                <w:color w:val="000000"/>
                <w:sz w:val="22"/>
              </w:rPr>
            </w:pPr>
            <w:r>
              <w:rPr>
                <w:rFonts w:hint="eastAsia" w:ascii="宋体" w:hAnsi="宋体" w:cs="宋体"/>
                <w:color w:val="000000"/>
                <w:kern w:val="0"/>
                <w:sz w:val="22"/>
                <w:lang w:bidi="ar"/>
              </w:rPr>
              <w:t>1000*1500*750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3562">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3D73">
            <w:pPr>
              <w:jc w:val="center"/>
              <w:rPr>
                <w:rFonts w:ascii="宋体" w:hAnsi="宋体" w:cs="宋体"/>
                <w:color w:val="000000"/>
                <w:sz w:val="22"/>
              </w:rPr>
            </w:pPr>
          </w:p>
        </w:tc>
      </w:tr>
      <w:tr w14:paraId="37DE2DED">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0727">
            <w:pPr>
              <w:widowControl/>
              <w:jc w:val="center"/>
              <w:textAlignment w:val="center"/>
              <w:rPr>
                <w:rFonts w:ascii="宋体" w:hAnsi="宋体" w:cs="宋体"/>
                <w:color w:val="000000"/>
                <w:sz w:val="22"/>
              </w:rPr>
            </w:pPr>
            <w:r>
              <w:rPr>
                <w:rFonts w:hint="eastAsia" w:ascii="宋体" w:hAnsi="宋体" w:cs="宋体"/>
                <w:color w:val="000000"/>
                <w:kern w:val="0"/>
                <w:sz w:val="22"/>
                <w:lang w:bidi="ar"/>
              </w:rPr>
              <w:t>会议椅</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9234">
            <w:pPr>
              <w:widowControl/>
              <w:jc w:val="center"/>
              <w:textAlignment w:val="center"/>
              <w:rPr>
                <w:rFonts w:ascii="宋体" w:hAnsi="宋体" w:cs="宋体"/>
                <w:color w:val="000000"/>
                <w:sz w:val="22"/>
              </w:rPr>
            </w:pPr>
            <w:r>
              <w:rPr>
                <w:rFonts w:ascii="宋体" w:hAnsi="宋体" w:cs="宋体"/>
                <w:sz w:val="24"/>
                <w:szCs w:val="24"/>
              </w:rPr>
              <w:t>座宽≥50cm、座深 42-45cm</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5220">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DE74">
            <w:pPr>
              <w:jc w:val="center"/>
              <w:rPr>
                <w:rFonts w:ascii="宋体" w:hAnsi="宋体" w:cs="宋体"/>
                <w:color w:val="000000"/>
                <w:sz w:val="22"/>
              </w:rPr>
            </w:pPr>
          </w:p>
        </w:tc>
      </w:tr>
      <w:tr w14:paraId="7B65996F">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C9A9">
            <w:pPr>
              <w:widowControl/>
              <w:jc w:val="center"/>
              <w:textAlignment w:val="center"/>
              <w:rPr>
                <w:rFonts w:ascii="宋体" w:hAnsi="宋体" w:cs="宋体"/>
                <w:color w:val="000000"/>
                <w:sz w:val="22"/>
              </w:rPr>
            </w:pPr>
            <w:r>
              <w:rPr>
                <w:rFonts w:hint="eastAsia" w:ascii="宋体" w:hAnsi="宋体" w:cs="宋体"/>
                <w:color w:val="000000"/>
                <w:kern w:val="0"/>
                <w:sz w:val="22"/>
                <w:lang w:bidi="ar"/>
              </w:rPr>
              <w:t>职员桌</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BB74">
            <w:pPr>
              <w:widowControl/>
              <w:jc w:val="center"/>
              <w:textAlignment w:val="center"/>
              <w:rPr>
                <w:rFonts w:ascii="宋体" w:hAnsi="宋体" w:cs="宋体"/>
                <w:color w:val="000000"/>
                <w:sz w:val="22"/>
              </w:rPr>
            </w:pPr>
            <w:r>
              <w:rPr>
                <w:rFonts w:hint="eastAsia" w:ascii="宋体" w:hAnsi="宋体" w:cs="宋体"/>
                <w:color w:val="000000"/>
                <w:kern w:val="0"/>
                <w:sz w:val="22"/>
                <w:lang w:bidi="ar"/>
              </w:rPr>
              <w:t>2400*1200*750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467C">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FC56">
            <w:pPr>
              <w:jc w:val="center"/>
              <w:rPr>
                <w:rFonts w:ascii="宋体" w:hAnsi="宋体" w:cs="宋体"/>
                <w:color w:val="000000"/>
                <w:sz w:val="22"/>
              </w:rPr>
            </w:pPr>
          </w:p>
        </w:tc>
      </w:tr>
      <w:tr w14:paraId="7EE6F1A7">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3356">
            <w:pPr>
              <w:widowControl/>
              <w:jc w:val="center"/>
              <w:textAlignment w:val="center"/>
              <w:rPr>
                <w:rFonts w:ascii="宋体" w:hAnsi="宋体" w:cs="宋体"/>
                <w:color w:val="000000"/>
                <w:sz w:val="22"/>
              </w:rPr>
            </w:pPr>
            <w:r>
              <w:rPr>
                <w:rFonts w:hint="eastAsia" w:ascii="宋体" w:hAnsi="宋体" w:cs="宋体"/>
                <w:color w:val="000000"/>
                <w:kern w:val="0"/>
                <w:sz w:val="22"/>
                <w:lang w:bidi="ar"/>
              </w:rPr>
              <w:t>职员桌办公柜</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5948">
            <w:pPr>
              <w:widowControl/>
              <w:jc w:val="center"/>
              <w:textAlignment w:val="center"/>
              <w:rPr>
                <w:rFonts w:ascii="宋体" w:hAnsi="宋体" w:cs="宋体"/>
                <w:color w:val="000000"/>
                <w:sz w:val="22"/>
              </w:rPr>
            </w:pPr>
            <w:r>
              <w:rPr>
                <w:rFonts w:hint="eastAsia" w:ascii="宋体" w:hAnsi="宋体" w:cs="宋体"/>
                <w:color w:val="000000"/>
                <w:kern w:val="0"/>
                <w:sz w:val="22"/>
                <w:lang w:bidi="ar"/>
              </w:rPr>
              <w:t>400*400*550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341E">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A33F">
            <w:pPr>
              <w:jc w:val="center"/>
              <w:rPr>
                <w:rFonts w:ascii="宋体" w:hAnsi="宋体" w:cs="宋体"/>
                <w:color w:val="000000"/>
                <w:sz w:val="22"/>
              </w:rPr>
            </w:pPr>
          </w:p>
        </w:tc>
      </w:tr>
      <w:tr w14:paraId="2AABC752">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B980">
            <w:pPr>
              <w:widowControl/>
              <w:jc w:val="center"/>
              <w:textAlignment w:val="center"/>
              <w:rPr>
                <w:rFonts w:ascii="宋体" w:hAnsi="宋体" w:cs="宋体"/>
                <w:color w:val="000000"/>
                <w:sz w:val="22"/>
              </w:rPr>
            </w:pPr>
            <w:r>
              <w:rPr>
                <w:rFonts w:hint="eastAsia" w:ascii="宋体" w:hAnsi="宋体" w:cs="宋体"/>
                <w:color w:val="000000"/>
                <w:kern w:val="0"/>
                <w:sz w:val="22"/>
                <w:lang w:bidi="ar"/>
              </w:rPr>
              <w:t>办公椅</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3CFE">
            <w:pPr>
              <w:widowControl/>
              <w:jc w:val="center"/>
              <w:textAlignment w:val="center"/>
              <w:rPr>
                <w:rFonts w:ascii="宋体" w:hAnsi="宋体" w:cs="宋体"/>
                <w:color w:val="000000"/>
                <w:sz w:val="22"/>
              </w:rPr>
            </w:pPr>
            <w:r>
              <w:rPr>
                <w:rFonts w:ascii="宋体" w:hAnsi="宋体" w:cs="宋体"/>
                <w:sz w:val="24"/>
                <w:szCs w:val="24"/>
              </w:rPr>
              <w:t>座高 40-45cm、座宽 45-50cm、靠背高 40-45cm，整体宽度 45-50cm</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F345">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0696">
            <w:pPr>
              <w:jc w:val="center"/>
              <w:rPr>
                <w:rFonts w:ascii="宋体" w:hAnsi="宋体" w:cs="宋体"/>
                <w:color w:val="000000"/>
                <w:sz w:val="22"/>
              </w:rPr>
            </w:pPr>
          </w:p>
        </w:tc>
      </w:tr>
      <w:tr w14:paraId="33C57BBC">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721E">
            <w:pPr>
              <w:widowControl/>
              <w:jc w:val="center"/>
              <w:textAlignment w:val="center"/>
              <w:rPr>
                <w:rFonts w:ascii="宋体" w:hAnsi="宋体" w:cs="宋体"/>
                <w:color w:val="000000"/>
                <w:sz w:val="22"/>
              </w:rPr>
            </w:pPr>
            <w:r>
              <w:rPr>
                <w:rFonts w:hint="eastAsia" w:ascii="宋体" w:hAnsi="宋体" w:cs="宋体"/>
                <w:color w:val="000000"/>
                <w:kern w:val="0"/>
                <w:sz w:val="22"/>
                <w:lang w:bidi="ar"/>
              </w:rPr>
              <w:t>演讲台</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C90F">
            <w:pPr>
              <w:widowControl/>
              <w:jc w:val="center"/>
              <w:textAlignment w:val="center"/>
              <w:rPr>
                <w:rFonts w:ascii="宋体" w:hAnsi="宋体" w:cs="宋体"/>
                <w:color w:val="000000"/>
                <w:sz w:val="22"/>
              </w:rPr>
            </w:pPr>
            <w:r>
              <w:rPr>
                <w:rFonts w:hint="eastAsia" w:ascii="宋体" w:hAnsi="宋体" w:cs="宋体"/>
                <w:color w:val="000000"/>
                <w:kern w:val="0"/>
                <w:sz w:val="22"/>
                <w:lang w:bidi="ar"/>
              </w:rPr>
              <w:t>650*500*1150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2127">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006D">
            <w:pPr>
              <w:jc w:val="center"/>
              <w:rPr>
                <w:rFonts w:ascii="宋体" w:hAnsi="宋体" w:cs="宋体"/>
                <w:color w:val="000000"/>
                <w:sz w:val="22"/>
              </w:rPr>
            </w:pPr>
          </w:p>
        </w:tc>
      </w:tr>
      <w:tr w14:paraId="1C9455B3">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89D6">
            <w:pPr>
              <w:widowControl/>
              <w:jc w:val="center"/>
              <w:textAlignment w:val="center"/>
              <w:rPr>
                <w:rFonts w:ascii="宋体" w:hAnsi="宋体" w:cs="宋体"/>
                <w:color w:val="000000"/>
                <w:sz w:val="22"/>
              </w:rPr>
            </w:pPr>
            <w:r>
              <w:rPr>
                <w:rFonts w:hint="eastAsia" w:ascii="宋体" w:hAnsi="宋体" w:cs="宋体"/>
                <w:color w:val="000000"/>
                <w:kern w:val="0"/>
                <w:sz w:val="22"/>
                <w:lang w:bidi="ar"/>
              </w:rPr>
              <w:t>折叠椅</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5361">
            <w:pPr>
              <w:widowControl/>
              <w:jc w:val="center"/>
              <w:textAlignment w:val="center"/>
              <w:rPr>
                <w:rFonts w:ascii="宋体" w:hAnsi="宋体" w:cs="宋体"/>
                <w:color w:val="000000"/>
                <w:sz w:val="22"/>
              </w:rPr>
            </w:pPr>
            <w:r>
              <w:rPr>
                <w:rFonts w:ascii="宋体" w:hAnsi="宋体" w:cs="宋体"/>
                <w:sz w:val="24"/>
                <w:szCs w:val="24"/>
              </w:rPr>
              <w:t>座高 42-45cm（固定）、座宽 38-40cm、座深 35-38cm</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5AA9">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ACE8">
            <w:pPr>
              <w:jc w:val="center"/>
              <w:rPr>
                <w:rFonts w:ascii="宋体" w:hAnsi="宋体" w:cs="宋体"/>
                <w:color w:val="000000"/>
                <w:sz w:val="22"/>
              </w:rPr>
            </w:pPr>
          </w:p>
        </w:tc>
      </w:tr>
      <w:tr w14:paraId="22B0FCDA">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BECF">
            <w:pPr>
              <w:widowControl/>
              <w:jc w:val="center"/>
              <w:textAlignment w:val="center"/>
              <w:rPr>
                <w:rFonts w:ascii="宋体" w:hAnsi="宋体" w:cs="宋体"/>
                <w:color w:val="000000"/>
                <w:sz w:val="22"/>
              </w:rPr>
            </w:pPr>
            <w:r>
              <w:rPr>
                <w:rFonts w:hint="eastAsia" w:ascii="宋体" w:hAnsi="宋体" w:cs="宋体"/>
                <w:color w:val="000000"/>
                <w:kern w:val="0"/>
                <w:sz w:val="22"/>
                <w:lang w:bidi="ar"/>
              </w:rPr>
              <w:t>文件柜</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0084">
            <w:pPr>
              <w:widowControl/>
              <w:jc w:val="center"/>
              <w:textAlignment w:val="center"/>
              <w:rPr>
                <w:rFonts w:ascii="宋体" w:hAnsi="宋体" w:cs="宋体"/>
                <w:color w:val="000000"/>
                <w:sz w:val="22"/>
              </w:rPr>
            </w:pPr>
            <w:r>
              <w:rPr>
                <w:rFonts w:hint="eastAsia" w:ascii="宋体" w:hAnsi="宋体" w:cs="宋体"/>
                <w:color w:val="000000"/>
                <w:kern w:val="0"/>
                <w:sz w:val="22"/>
                <w:lang w:bidi="ar"/>
              </w:rPr>
              <w:t>800*400*2000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0776">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A07E">
            <w:pPr>
              <w:jc w:val="center"/>
              <w:rPr>
                <w:rFonts w:ascii="宋体" w:hAnsi="宋体" w:cs="宋体"/>
                <w:color w:val="000000"/>
                <w:sz w:val="22"/>
              </w:rPr>
            </w:pPr>
          </w:p>
        </w:tc>
      </w:tr>
      <w:tr w14:paraId="3BA0E96D">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CC98">
            <w:pPr>
              <w:widowControl/>
              <w:jc w:val="center"/>
              <w:textAlignment w:val="center"/>
              <w:rPr>
                <w:rFonts w:ascii="宋体" w:hAnsi="宋体" w:cs="宋体"/>
                <w:color w:val="000000"/>
                <w:sz w:val="22"/>
              </w:rPr>
            </w:pPr>
            <w:r>
              <w:rPr>
                <w:rFonts w:hint="eastAsia" w:ascii="宋体" w:hAnsi="宋体" w:cs="宋体"/>
                <w:color w:val="000000"/>
                <w:kern w:val="0"/>
                <w:sz w:val="22"/>
                <w:lang w:bidi="ar"/>
              </w:rPr>
              <w:t>茶台</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65D7">
            <w:pPr>
              <w:widowControl/>
              <w:jc w:val="center"/>
              <w:textAlignment w:val="center"/>
              <w:rPr>
                <w:rFonts w:ascii="宋体" w:hAnsi="宋体" w:cs="宋体"/>
                <w:color w:val="000000"/>
                <w:sz w:val="22"/>
              </w:rPr>
            </w:pPr>
            <w:r>
              <w:rPr>
                <w:rFonts w:hint="eastAsia" w:ascii="宋体" w:hAnsi="宋体" w:cs="宋体"/>
                <w:color w:val="000000"/>
                <w:kern w:val="0"/>
                <w:sz w:val="22"/>
                <w:lang w:bidi="ar"/>
              </w:rPr>
              <w:t>1800*800*750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1D26">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026F">
            <w:pPr>
              <w:jc w:val="center"/>
              <w:rPr>
                <w:rFonts w:ascii="宋体" w:hAnsi="宋体" w:cs="宋体"/>
                <w:color w:val="000000"/>
                <w:sz w:val="22"/>
              </w:rPr>
            </w:pPr>
          </w:p>
        </w:tc>
      </w:tr>
      <w:tr w14:paraId="137FC426">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E703">
            <w:pPr>
              <w:widowControl/>
              <w:jc w:val="center"/>
              <w:textAlignment w:val="center"/>
              <w:rPr>
                <w:rFonts w:ascii="宋体" w:hAnsi="宋体" w:cs="宋体"/>
                <w:color w:val="000000"/>
                <w:sz w:val="22"/>
              </w:rPr>
            </w:pPr>
            <w:r>
              <w:rPr>
                <w:rFonts w:hint="eastAsia" w:ascii="宋体" w:hAnsi="宋体" w:cs="宋体"/>
                <w:color w:val="000000"/>
                <w:kern w:val="0"/>
                <w:sz w:val="22"/>
                <w:lang w:bidi="ar"/>
              </w:rPr>
              <w:t>椅子</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95FD">
            <w:pPr>
              <w:widowControl/>
              <w:jc w:val="center"/>
              <w:textAlignment w:val="center"/>
              <w:rPr>
                <w:rFonts w:ascii="宋体" w:hAnsi="宋体" w:cs="宋体"/>
                <w:color w:val="000000"/>
                <w:sz w:val="22"/>
              </w:rPr>
            </w:pPr>
            <w:r>
              <w:rPr>
                <w:rFonts w:ascii="宋体" w:hAnsi="宋体" w:cs="宋体"/>
                <w:sz w:val="24"/>
                <w:szCs w:val="24"/>
              </w:rPr>
              <w:t>座高 40-45cm、座宽 45-50cm、靠背高 40-45cm，整体宽度 45-50cm</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D783">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DFC1">
            <w:pPr>
              <w:jc w:val="center"/>
              <w:rPr>
                <w:rFonts w:ascii="宋体" w:hAnsi="宋体" w:cs="宋体"/>
                <w:color w:val="000000"/>
                <w:sz w:val="22"/>
              </w:rPr>
            </w:pPr>
          </w:p>
        </w:tc>
      </w:tr>
      <w:tr w14:paraId="21AD95CD">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9502">
            <w:pPr>
              <w:widowControl/>
              <w:jc w:val="center"/>
              <w:textAlignment w:val="center"/>
              <w:rPr>
                <w:rFonts w:ascii="宋体" w:hAnsi="宋体" w:cs="宋体"/>
                <w:color w:val="000000"/>
                <w:sz w:val="22"/>
              </w:rPr>
            </w:pPr>
            <w:r>
              <w:rPr>
                <w:rFonts w:hint="eastAsia" w:ascii="宋体" w:hAnsi="宋体" w:cs="宋体"/>
                <w:color w:val="000000"/>
                <w:kern w:val="0"/>
                <w:sz w:val="22"/>
                <w:lang w:bidi="ar"/>
              </w:rPr>
              <w:t>茶席桌子</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7B94">
            <w:pPr>
              <w:widowControl/>
              <w:jc w:val="center"/>
              <w:textAlignment w:val="center"/>
              <w:rPr>
                <w:rFonts w:ascii="宋体" w:hAnsi="宋体" w:cs="宋体"/>
                <w:color w:val="000000"/>
                <w:sz w:val="22"/>
              </w:rPr>
            </w:pPr>
            <w:r>
              <w:rPr>
                <w:rFonts w:hint="eastAsia" w:ascii="宋体" w:hAnsi="宋体" w:cs="宋体"/>
                <w:color w:val="000000"/>
                <w:kern w:val="0"/>
                <w:sz w:val="22"/>
                <w:lang w:bidi="ar"/>
              </w:rPr>
              <w:t>800*750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6023">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EDE7">
            <w:pPr>
              <w:jc w:val="center"/>
              <w:rPr>
                <w:rFonts w:ascii="宋体" w:hAnsi="宋体" w:cs="宋体"/>
                <w:color w:val="000000"/>
                <w:sz w:val="22"/>
              </w:rPr>
            </w:pPr>
          </w:p>
        </w:tc>
      </w:tr>
      <w:tr w14:paraId="35E3BFE1">
        <w:tblPrEx>
          <w:tblCellMar>
            <w:top w:w="0" w:type="dxa"/>
            <w:left w:w="108" w:type="dxa"/>
            <w:bottom w:w="0" w:type="dxa"/>
            <w:right w:w="108" w:type="dxa"/>
          </w:tblCellMar>
        </w:tblPrEx>
        <w:trPr>
          <w:trHeight w:val="740" w:hRule="atLeast"/>
        </w:trPr>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CADC">
            <w:pPr>
              <w:widowControl/>
              <w:jc w:val="center"/>
              <w:textAlignment w:val="center"/>
              <w:rPr>
                <w:rFonts w:ascii="宋体" w:hAnsi="宋体" w:cs="宋体"/>
                <w:color w:val="000000"/>
                <w:sz w:val="22"/>
              </w:rPr>
            </w:pPr>
            <w:r>
              <w:rPr>
                <w:rFonts w:hint="eastAsia" w:ascii="宋体" w:hAnsi="宋体" w:cs="宋体"/>
                <w:color w:val="000000"/>
                <w:kern w:val="0"/>
                <w:sz w:val="22"/>
                <w:lang w:bidi="ar"/>
              </w:rPr>
              <w:t>茶席桌子</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B415">
            <w:pPr>
              <w:widowControl/>
              <w:jc w:val="center"/>
              <w:textAlignment w:val="center"/>
              <w:rPr>
                <w:rFonts w:ascii="宋体" w:hAnsi="宋体" w:cs="宋体"/>
                <w:color w:val="000000"/>
                <w:sz w:val="22"/>
              </w:rPr>
            </w:pPr>
            <w:r>
              <w:rPr>
                <w:rFonts w:ascii="宋体" w:hAnsi="宋体" w:cs="宋体"/>
                <w:sz w:val="24"/>
                <w:szCs w:val="24"/>
              </w:rPr>
              <w:t>40-45cm 座高，40-45cm 方宽</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09B7">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EA85">
            <w:pPr>
              <w:jc w:val="center"/>
              <w:rPr>
                <w:rFonts w:ascii="宋体" w:hAnsi="宋体" w:cs="宋体"/>
                <w:color w:val="000000"/>
                <w:sz w:val="22"/>
              </w:rPr>
            </w:pPr>
          </w:p>
        </w:tc>
      </w:tr>
    </w:tbl>
    <w:p w14:paraId="6A88FE7E">
      <w:pPr>
        <w:pStyle w:val="14"/>
        <w:spacing w:line="360" w:lineRule="auto"/>
        <w:ind w:firstLine="0" w:firstLineChars="0"/>
        <w:jc w:val="left"/>
        <w:rPr>
          <w:rFonts w:asciiTheme="minorEastAsia" w:hAnsiTheme="minorEastAsia" w:eastAsiaTheme="minorEastAsia"/>
          <w:sz w:val="24"/>
          <w:szCs w:val="24"/>
        </w:rPr>
      </w:pPr>
    </w:p>
    <w:p w14:paraId="32879A7E">
      <w:pPr>
        <w:pStyle w:val="14"/>
        <w:numPr>
          <w:ilvl w:val="0"/>
          <w:numId w:val="3"/>
        </w:numPr>
        <w:spacing w:line="360" w:lineRule="auto"/>
        <w:ind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家电</w:t>
      </w:r>
      <w:r>
        <w:rPr>
          <w:rFonts w:asciiTheme="minorEastAsia" w:hAnsiTheme="minorEastAsia" w:eastAsiaTheme="minorEastAsia"/>
          <w:sz w:val="24"/>
          <w:szCs w:val="24"/>
        </w:rPr>
        <w:t>部分</w:t>
      </w:r>
    </w:p>
    <w:p w14:paraId="173EB568">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无</w:t>
      </w:r>
    </w:p>
    <w:p w14:paraId="5BC22441">
      <w:pPr>
        <w:pStyle w:val="14"/>
        <w:numPr>
          <w:ilvl w:val="0"/>
          <w:numId w:val="3"/>
        </w:numPr>
        <w:spacing w:line="360" w:lineRule="auto"/>
        <w:ind w:firstLineChars="0"/>
        <w:jc w:val="left"/>
        <w:rPr>
          <w:rFonts w:asciiTheme="minorEastAsia" w:hAnsiTheme="minorEastAsia" w:eastAsiaTheme="minorEastAsia"/>
          <w:sz w:val="24"/>
          <w:szCs w:val="24"/>
        </w:rPr>
      </w:pPr>
      <w:r>
        <w:rPr>
          <w:rFonts w:asciiTheme="minorEastAsia" w:hAnsiTheme="minorEastAsia" w:eastAsiaTheme="minorEastAsia"/>
          <w:sz w:val="24"/>
          <w:szCs w:val="24"/>
        </w:rPr>
        <w:t>其他（如布线等设备安装工程）【本部分以最终审计结果为准】</w:t>
      </w:r>
    </w:p>
    <w:p w14:paraId="41F5CAC6">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无</w:t>
      </w:r>
    </w:p>
    <w:p w14:paraId="0D70DCC2">
      <w:pPr>
        <w:spacing w:line="360" w:lineRule="auto"/>
        <w:jc w:val="left"/>
        <w:rPr>
          <w:rFonts w:asciiTheme="minorEastAsia" w:hAnsiTheme="minorEastAsia" w:eastAsiaTheme="minorEastAsia"/>
          <w:sz w:val="24"/>
          <w:szCs w:val="24"/>
        </w:rPr>
      </w:pPr>
    </w:p>
    <w:p w14:paraId="3DD1B540">
      <w:pPr>
        <w:pStyle w:val="3"/>
        <w:numPr>
          <w:ilvl w:val="0"/>
          <w:numId w:val="1"/>
        </w:numPr>
        <w:spacing w:line="360" w:lineRule="auto"/>
        <w:rPr>
          <w:rFonts w:cs="黑体"/>
          <w:b/>
        </w:rPr>
      </w:pPr>
      <w:r>
        <w:rPr>
          <w:rFonts w:cs="黑体"/>
          <w:b/>
        </w:rPr>
        <w:t>支付及报价要求</w:t>
      </w:r>
    </w:p>
    <w:tbl>
      <w:tblPr>
        <w:tblStyle w:val="9"/>
        <w:tblW w:w="9743" w:type="dxa"/>
        <w:tblInd w:w="153" w:type="dxa"/>
        <w:tblLayout w:type="fixed"/>
        <w:tblCellMar>
          <w:top w:w="0" w:type="dxa"/>
          <w:left w:w="0" w:type="dxa"/>
          <w:bottom w:w="0" w:type="dxa"/>
          <w:right w:w="0" w:type="dxa"/>
        </w:tblCellMar>
      </w:tblPr>
      <w:tblGrid>
        <w:gridCol w:w="674"/>
        <w:gridCol w:w="1277"/>
        <w:gridCol w:w="7792"/>
      </w:tblGrid>
      <w:tr w14:paraId="0B861E4A">
        <w:tblPrEx>
          <w:tblCellMar>
            <w:top w:w="0" w:type="dxa"/>
            <w:left w:w="0" w:type="dxa"/>
            <w:bottom w:w="0" w:type="dxa"/>
            <w:right w:w="0" w:type="dxa"/>
          </w:tblCellMar>
        </w:tblPrEx>
        <w:trPr>
          <w:trHeight w:val="401" w:hRule="exact"/>
        </w:trPr>
        <w:tc>
          <w:tcPr>
            <w:tcW w:w="674" w:type="dxa"/>
            <w:tcBorders>
              <w:top w:val="single" w:color="000000" w:sz="4" w:space="0"/>
              <w:left w:val="single" w:color="000000" w:sz="4" w:space="0"/>
              <w:bottom w:val="single" w:color="000000" w:sz="4" w:space="0"/>
              <w:right w:val="single" w:color="000000" w:sz="4" w:space="0"/>
            </w:tcBorders>
            <w:vAlign w:val="center"/>
          </w:tcPr>
          <w:p w14:paraId="312329A0">
            <w:pPr>
              <w:pStyle w:val="15"/>
              <w:spacing w:before="57"/>
              <w:ind w:left="122"/>
              <w:rPr>
                <w:rFonts w:ascii="宋体" w:hAnsi="宋体" w:eastAsia="宋体" w:cs="宋体"/>
                <w:sz w:val="21"/>
                <w:szCs w:val="21"/>
              </w:rPr>
            </w:pPr>
            <w:r>
              <w:rPr>
                <w:rFonts w:ascii="宋体" w:hAnsi="宋体" w:eastAsia="宋体" w:cs="宋体"/>
                <w:b/>
                <w:bCs/>
                <w:sz w:val="21"/>
                <w:szCs w:val="21"/>
              </w:rPr>
              <w:t>序号</w:t>
            </w:r>
          </w:p>
        </w:tc>
        <w:tc>
          <w:tcPr>
            <w:tcW w:w="9069" w:type="dxa"/>
            <w:gridSpan w:val="2"/>
            <w:tcBorders>
              <w:top w:val="single" w:color="000000" w:sz="4" w:space="0"/>
              <w:left w:val="single" w:color="000000" w:sz="4" w:space="0"/>
              <w:bottom w:val="single" w:color="000000" w:sz="4" w:space="0"/>
              <w:right w:val="single" w:color="000000" w:sz="4" w:space="0"/>
            </w:tcBorders>
            <w:vAlign w:val="center"/>
          </w:tcPr>
          <w:p w14:paraId="2D009CA5">
            <w:pPr>
              <w:pStyle w:val="15"/>
              <w:spacing w:before="57"/>
              <w:ind w:left="102"/>
              <w:rPr>
                <w:rFonts w:ascii="宋体" w:hAnsi="宋体" w:eastAsia="宋体" w:cs="宋体"/>
                <w:sz w:val="21"/>
                <w:szCs w:val="21"/>
                <w:lang w:eastAsia="zh-CN"/>
              </w:rPr>
            </w:pPr>
            <w:r>
              <w:rPr>
                <w:rFonts w:ascii="宋体" w:hAnsi="宋体" w:eastAsia="宋体" w:cs="宋体"/>
                <w:b/>
                <w:bCs/>
                <w:sz w:val="21"/>
                <w:szCs w:val="21"/>
              </w:rPr>
              <w:t>支付及报价要求</w:t>
            </w:r>
          </w:p>
        </w:tc>
      </w:tr>
      <w:tr w14:paraId="67B4A7A0">
        <w:tblPrEx>
          <w:tblCellMar>
            <w:top w:w="0" w:type="dxa"/>
            <w:left w:w="0" w:type="dxa"/>
            <w:bottom w:w="0" w:type="dxa"/>
            <w:right w:w="0" w:type="dxa"/>
          </w:tblCellMar>
        </w:tblPrEx>
        <w:trPr>
          <w:trHeight w:val="2279" w:hRule="exact"/>
        </w:trPr>
        <w:tc>
          <w:tcPr>
            <w:tcW w:w="674" w:type="dxa"/>
            <w:tcBorders>
              <w:top w:val="single" w:color="000000" w:sz="4" w:space="0"/>
              <w:left w:val="single" w:color="000000" w:sz="4" w:space="0"/>
              <w:bottom w:val="single" w:color="000000" w:sz="4" w:space="0"/>
              <w:right w:val="single" w:color="000000" w:sz="4" w:space="0"/>
            </w:tcBorders>
            <w:vAlign w:val="center"/>
          </w:tcPr>
          <w:p w14:paraId="3344C723">
            <w:pPr>
              <w:pStyle w:val="15"/>
              <w:spacing w:before="155"/>
              <w:rPr>
                <w:rFonts w:ascii="宋体" w:hAnsi="宋体" w:eastAsia="宋体" w:cs="宋体"/>
                <w:sz w:val="21"/>
                <w:szCs w:val="21"/>
              </w:rPr>
            </w:pPr>
            <w:r>
              <w:rPr>
                <w:rFonts w:ascii="宋体"/>
                <w:sz w:val="21"/>
              </w:rPr>
              <w:t>1</w:t>
            </w:r>
          </w:p>
        </w:tc>
        <w:tc>
          <w:tcPr>
            <w:tcW w:w="1277" w:type="dxa"/>
            <w:tcBorders>
              <w:top w:val="single" w:color="000000" w:sz="4" w:space="0"/>
              <w:left w:val="single" w:color="000000" w:sz="4" w:space="0"/>
              <w:bottom w:val="single" w:color="000000" w:sz="4" w:space="0"/>
              <w:right w:val="single" w:color="000000" w:sz="4" w:space="0"/>
            </w:tcBorders>
            <w:vAlign w:val="center"/>
          </w:tcPr>
          <w:p w14:paraId="709863C7">
            <w:pPr>
              <w:pStyle w:val="15"/>
              <w:spacing w:before="155"/>
              <w:rPr>
                <w:rFonts w:ascii="宋体" w:hAnsi="宋体" w:eastAsia="宋体" w:cs="宋体"/>
                <w:sz w:val="21"/>
                <w:szCs w:val="21"/>
              </w:rPr>
            </w:pPr>
            <w:r>
              <w:rPr>
                <w:rFonts w:ascii="宋体" w:hAnsi="宋体" w:eastAsia="宋体" w:cs="宋体"/>
                <w:sz w:val="21"/>
                <w:szCs w:val="21"/>
              </w:rPr>
              <w:t>支付要求</w:t>
            </w:r>
          </w:p>
        </w:tc>
        <w:tc>
          <w:tcPr>
            <w:tcW w:w="7792" w:type="dxa"/>
            <w:tcBorders>
              <w:top w:val="single" w:color="000000" w:sz="4" w:space="0"/>
              <w:left w:val="single" w:color="000000" w:sz="4" w:space="0"/>
              <w:bottom w:val="single" w:color="000000" w:sz="4" w:space="0"/>
              <w:right w:val="single" w:color="000000" w:sz="4" w:space="0"/>
            </w:tcBorders>
            <w:vAlign w:val="center"/>
          </w:tcPr>
          <w:p w14:paraId="2138AFDF">
            <w:pPr>
              <w:pStyle w:val="15"/>
              <w:spacing w:before="57"/>
              <w:ind w:right="96"/>
              <w:rPr>
                <w:rFonts w:ascii="宋体" w:hAnsi="宋体" w:eastAsia="宋体" w:cs="宋体"/>
                <w:spacing w:val="-1"/>
                <w:sz w:val="21"/>
                <w:szCs w:val="21"/>
                <w:lang w:eastAsia="zh-CN"/>
              </w:rPr>
            </w:pPr>
            <w:r>
              <w:rPr>
                <w:rFonts w:hint="eastAsia" w:ascii="宋体" w:hAnsi="宋体" w:eastAsia="宋体" w:cs="宋体"/>
                <w:spacing w:val="-1"/>
                <w:sz w:val="21"/>
                <w:szCs w:val="21"/>
                <w:lang w:eastAsia="zh-CN"/>
              </w:rPr>
              <w:t>第一期付款：该笔付款为合同价款的40%（百分之肆拾），合同生效之日起15（拾伍）个工作日内甲方向乙方支付。</w:t>
            </w:r>
          </w:p>
          <w:p w14:paraId="16BFCB1E">
            <w:pPr>
              <w:pStyle w:val="15"/>
              <w:spacing w:before="57"/>
              <w:ind w:right="96"/>
              <w:rPr>
                <w:rFonts w:ascii="宋体" w:hAnsi="宋体" w:eastAsia="宋体" w:cs="宋体"/>
                <w:spacing w:val="-1"/>
                <w:sz w:val="21"/>
                <w:szCs w:val="21"/>
                <w:lang w:eastAsia="zh-CN"/>
              </w:rPr>
            </w:pPr>
            <w:r>
              <w:rPr>
                <w:rFonts w:hint="eastAsia" w:ascii="宋体" w:hAnsi="宋体" w:eastAsia="宋体" w:cs="宋体"/>
                <w:spacing w:val="-1"/>
                <w:sz w:val="21"/>
                <w:szCs w:val="21"/>
                <w:lang w:eastAsia="zh-CN"/>
              </w:rPr>
              <w:t>第二期付款：该笔付款为合同价款的30%（百分之叁拾），设备到货清点完毕后15（拾伍）个工作日内甲方向乙方支付。</w:t>
            </w:r>
          </w:p>
          <w:p w14:paraId="56DFEDDA">
            <w:pPr>
              <w:pStyle w:val="15"/>
              <w:spacing w:before="57"/>
              <w:ind w:right="96"/>
              <w:rPr>
                <w:rFonts w:ascii="宋体" w:hAnsi="宋体" w:eastAsia="宋体" w:cs="宋体"/>
                <w:sz w:val="21"/>
                <w:szCs w:val="21"/>
                <w:lang w:eastAsia="zh-CN"/>
              </w:rPr>
            </w:pPr>
            <w:r>
              <w:rPr>
                <w:rFonts w:hint="eastAsia" w:ascii="宋体" w:hAnsi="宋体" w:eastAsia="宋体" w:cs="宋体"/>
                <w:spacing w:val="-1"/>
                <w:sz w:val="21"/>
                <w:szCs w:val="21"/>
                <w:lang w:eastAsia="zh-CN"/>
              </w:rPr>
              <w:t>第三期付款：该笔付款为设备安装调试完毕，并正常运行通过项目最终验收后15（拾伍）个工作日内（自验收报告签字之日起算）支付合同价款的30%（百分之叁拾）。</w:t>
            </w:r>
          </w:p>
        </w:tc>
      </w:tr>
      <w:tr w14:paraId="646AA246">
        <w:tblPrEx>
          <w:tblCellMar>
            <w:top w:w="0" w:type="dxa"/>
            <w:left w:w="0" w:type="dxa"/>
            <w:bottom w:w="0" w:type="dxa"/>
            <w:right w:w="0" w:type="dxa"/>
          </w:tblCellMar>
        </w:tblPrEx>
        <w:trPr>
          <w:trHeight w:val="2249" w:hRule="exact"/>
        </w:trPr>
        <w:tc>
          <w:tcPr>
            <w:tcW w:w="674" w:type="dxa"/>
            <w:tcBorders>
              <w:top w:val="single" w:color="000000" w:sz="4" w:space="0"/>
              <w:left w:val="single" w:color="000000" w:sz="4" w:space="0"/>
              <w:bottom w:val="single" w:color="000000" w:sz="4" w:space="0"/>
              <w:right w:val="single" w:color="000000" w:sz="4" w:space="0"/>
            </w:tcBorders>
            <w:vAlign w:val="center"/>
          </w:tcPr>
          <w:p w14:paraId="188F8064">
            <w:pPr>
              <w:pStyle w:val="15"/>
              <w:rPr>
                <w:rFonts w:ascii="宋体" w:hAnsi="宋体" w:eastAsia="宋体" w:cs="宋体"/>
                <w:sz w:val="21"/>
                <w:szCs w:val="21"/>
              </w:rPr>
            </w:pPr>
            <w:r>
              <w:rPr>
                <w:rFonts w:ascii="宋体"/>
                <w:sz w:val="21"/>
              </w:rPr>
              <w:t>2</w:t>
            </w:r>
          </w:p>
        </w:tc>
        <w:tc>
          <w:tcPr>
            <w:tcW w:w="1277" w:type="dxa"/>
            <w:tcBorders>
              <w:top w:val="single" w:color="000000" w:sz="4" w:space="0"/>
              <w:left w:val="single" w:color="000000" w:sz="4" w:space="0"/>
              <w:bottom w:val="single" w:color="000000" w:sz="4" w:space="0"/>
              <w:right w:val="single" w:color="000000" w:sz="4" w:space="0"/>
            </w:tcBorders>
            <w:vAlign w:val="center"/>
          </w:tcPr>
          <w:p w14:paraId="543D38F2">
            <w:pPr>
              <w:pStyle w:val="15"/>
              <w:rPr>
                <w:rFonts w:ascii="宋体" w:hAnsi="宋体" w:eastAsia="宋体" w:cs="宋体"/>
                <w:sz w:val="21"/>
                <w:szCs w:val="21"/>
              </w:rPr>
            </w:pPr>
            <w:r>
              <w:rPr>
                <w:rFonts w:ascii="宋体" w:hAnsi="宋体" w:eastAsia="宋体" w:cs="宋体"/>
                <w:sz w:val="21"/>
                <w:szCs w:val="21"/>
              </w:rPr>
              <w:t>报价要求</w:t>
            </w:r>
          </w:p>
        </w:tc>
        <w:tc>
          <w:tcPr>
            <w:tcW w:w="7792" w:type="dxa"/>
            <w:tcBorders>
              <w:top w:val="single" w:color="000000" w:sz="4" w:space="0"/>
              <w:left w:val="single" w:color="000000" w:sz="4" w:space="0"/>
              <w:bottom w:val="single" w:color="000000" w:sz="4" w:space="0"/>
              <w:right w:val="single" w:color="000000" w:sz="4" w:space="0"/>
            </w:tcBorders>
            <w:vAlign w:val="center"/>
          </w:tcPr>
          <w:p w14:paraId="4BBE73BB">
            <w:pPr>
              <w:pStyle w:val="15"/>
              <w:spacing w:before="59"/>
              <w:ind w:right="-7"/>
              <w:rPr>
                <w:rFonts w:ascii="宋体" w:hAnsi="宋体" w:eastAsia="宋体" w:cs="宋体"/>
                <w:sz w:val="21"/>
                <w:szCs w:val="21"/>
                <w:lang w:eastAsia="zh-CN"/>
              </w:rPr>
            </w:pPr>
            <w:r>
              <w:rPr>
                <w:rFonts w:ascii="宋体" w:hAnsi="宋体" w:eastAsia="宋体" w:cs="宋体"/>
                <w:sz w:val="21"/>
                <w:szCs w:val="21"/>
                <w:lang w:eastAsia="zh-CN"/>
              </w:rPr>
              <w:t>报价要求：须按照报价表内要求报价，明确明细价及总价。人工费、安装</w:t>
            </w:r>
            <w:r>
              <w:rPr>
                <w:rFonts w:ascii="宋体" w:hAnsi="宋体" w:eastAsia="宋体" w:cs="宋体"/>
                <w:spacing w:val="-92"/>
                <w:sz w:val="21"/>
                <w:szCs w:val="21"/>
                <w:lang w:eastAsia="zh-CN"/>
              </w:rPr>
              <w:t xml:space="preserve"> </w:t>
            </w:r>
            <w:r>
              <w:rPr>
                <w:rFonts w:ascii="宋体" w:hAnsi="宋体" w:eastAsia="宋体" w:cs="宋体"/>
                <w:sz w:val="21"/>
                <w:szCs w:val="21"/>
                <w:lang w:eastAsia="zh-CN"/>
              </w:rPr>
              <w:t>调试费、税费及所产生的配套设备和配件费用等所有</w:t>
            </w:r>
            <w:r>
              <w:rPr>
                <w:rFonts w:ascii="宋体" w:hAnsi="宋体" w:eastAsia="宋体" w:cs="宋体"/>
                <w:spacing w:val="-92"/>
                <w:sz w:val="21"/>
                <w:szCs w:val="21"/>
                <w:lang w:eastAsia="zh-CN"/>
              </w:rPr>
              <w:t xml:space="preserve"> </w:t>
            </w:r>
            <w:r>
              <w:rPr>
                <w:rFonts w:ascii="宋体" w:hAnsi="宋体" w:eastAsia="宋体" w:cs="宋体"/>
                <w:sz w:val="21"/>
                <w:szCs w:val="21"/>
                <w:lang w:eastAsia="zh-CN"/>
              </w:rPr>
              <w:t>费用均应包含在本次项目的报价当中。不得以其他任何理由提出中</w:t>
            </w:r>
            <w:r>
              <w:rPr>
                <w:rFonts w:ascii="宋体" w:hAnsi="宋体" w:eastAsia="宋体" w:cs="宋体"/>
                <w:spacing w:val="-92"/>
                <w:sz w:val="21"/>
                <w:szCs w:val="21"/>
                <w:lang w:eastAsia="zh-CN"/>
              </w:rPr>
              <w:t xml:space="preserve"> </w:t>
            </w:r>
            <w:r>
              <w:rPr>
                <w:rFonts w:ascii="宋体" w:hAnsi="宋体" w:eastAsia="宋体" w:cs="宋体"/>
                <w:sz w:val="21"/>
                <w:szCs w:val="21"/>
                <w:lang w:eastAsia="zh-CN"/>
              </w:rPr>
              <w:t xml:space="preserve">标金额以外的其他费用要求。 </w:t>
            </w:r>
          </w:p>
        </w:tc>
      </w:tr>
    </w:tbl>
    <w:p w14:paraId="69E0535C">
      <w:pPr>
        <w:pStyle w:val="3"/>
        <w:numPr>
          <w:ilvl w:val="0"/>
          <w:numId w:val="1"/>
        </w:numPr>
        <w:rPr>
          <w:rFonts w:cs="黑体"/>
          <w:b/>
        </w:rPr>
      </w:pPr>
      <w:r>
        <w:rPr>
          <w:rFonts w:cs="黑体"/>
          <w:b/>
        </w:rPr>
        <w:t>售后服务</w:t>
      </w:r>
    </w:p>
    <w:tbl>
      <w:tblPr>
        <w:tblStyle w:val="9"/>
        <w:tblW w:w="9783" w:type="dxa"/>
        <w:tblInd w:w="119" w:type="dxa"/>
        <w:tblLayout w:type="fixed"/>
        <w:tblCellMar>
          <w:top w:w="0" w:type="dxa"/>
          <w:left w:w="0" w:type="dxa"/>
          <w:bottom w:w="0" w:type="dxa"/>
          <w:right w:w="0" w:type="dxa"/>
        </w:tblCellMar>
      </w:tblPr>
      <w:tblGrid>
        <w:gridCol w:w="706"/>
        <w:gridCol w:w="1421"/>
        <w:gridCol w:w="7656"/>
      </w:tblGrid>
      <w:tr w14:paraId="428DA635">
        <w:tblPrEx>
          <w:tblCellMar>
            <w:top w:w="0" w:type="dxa"/>
            <w:left w:w="0" w:type="dxa"/>
            <w:bottom w:w="0" w:type="dxa"/>
            <w:right w:w="0" w:type="dxa"/>
          </w:tblCellMar>
        </w:tblPrEx>
        <w:trPr>
          <w:trHeight w:val="370" w:hRule="exact"/>
        </w:trPr>
        <w:tc>
          <w:tcPr>
            <w:tcW w:w="706" w:type="dxa"/>
            <w:tcBorders>
              <w:top w:val="single" w:color="000000" w:sz="4" w:space="0"/>
              <w:left w:val="single" w:color="000000" w:sz="4" w:space="0"/>
              <w:bottom w:val="single" w:color="000000" w:sz="4" w:space="0"/>
              <w:right w:val="single" w:color="000000" w:sz="4" w:space="0"/>
            </w:tcBorders>
          </w:tcPr>
          <w:p w14:paraId="5DEADAE5">
            <w:pPr>
              <w:pStyle w:val="15"/>
              <w:spacing w:before="42"/>
              <w:ind w:left="139"/>
              <w:rPr>
                <w:rFonts w:ascii="宋体" w:hAnsi="宋体" w:eastAsia="宋体" w:cs="宋体"/>
                <w:sz w:val="21"/>
                <w:szCs w:val="21"/>
              </w:rPr>
            </w:pPr>
            <w:r>
              <w:rPr>
                <w:rFonts w:ascii="宋体" w:hAnsi="宋体" w:eastAsia="宋体" w:cs="宋体"/>
                <w:b/>
                <w:bCs/>
                <w:sz w:val="21"/>
                <w:szCs w:val="21"/>
              </w:rPr>
              <w:t>序号</w:t>
            </w:r>
            <w:r>
              <w:rPr>
                <w:rFonts w:ascii="宋体" w:hAnsi="宋体" w:eastAsia="宋体" w:cs="宋体"/>
                <w:b/>
                <w:bCs/>
                <w:w w:val="99"/>
                <w:sz w:val="21"/>
                <w:szCs w:val="21"/>
              </w:rPr>
              <w:t xml:space="preserve"> </w:t>
            </w:r>
          </w:p>
        </w:tc>
        <w:tc>
          <w:tcPr>
            <w:tcW w:w="9077" w:type="dxa"/>
            <w:gridSpan w:val="2"/>
            <w:tcBorders>
              <w:top w:val="single" w:color="000000" w:sz="4" w:space="0"/>
              <w:left w:val="single" w:color="000000" w:sz="4" w:space="0"/>
              <w:bottom w:val="single" w:color="000000" w:sz="4" w:space="0"/>
              <w:right w:val="single" w:color="000000" w:sz="4" w:space="0"/>
            </w:tcBorders>
          </w:tcPr>
          <w:p w14:paraId="15DC614E">
            <w:pPr>
              <w:pStyle w:val="15"/>
              <w:spacing w:before="42"/>
              <w:ind w:left="105"/>
              <w:rPr>
                <w:rFonts w:ascii="宋体" w:hAnsi="宋体" w:eastAsia="宋体" w:cs="宋体"/>
                <w:sz w:val="21"/>
                <w:szCs w:val="21"/>
              </w:rPr>
            </w:pPr>
            <w:r>
              <w:rPr>
                <w:rFonts w:ascii="宋体" w:hAnsi="宋体" w:eastAsia="宋体" w:cs="宋体"/>
                <w:b/>
                <w:bCs/>
                <w:sz w:val="21"/>
                <w:szCs w:val="21"/>
              </w:rPr>
              <w:t>售后服务要求</w:t>
            </w:r>
            <w:r>
              <w:rPr>
                <w:rFonts w:ascii="宋体" w:hAnsi="宋体" w:eastAsia="宋体" w:cs="宋体"/>
                <w:b/>
                <w:bCs/>
                <w:w w:val="99"/>
                <w:sz w:val="21"/>
                <w:szCs w:val="21"/>
              </w:rPr>
              <w:t xml:space="preserve"> </w:t>
            </w:r>
          </w:p>
        </w:tc>
      </w:tr>
      <w:tr w14:paraId="776254BF">
        <w:tblPrEx>
          <w:tblCellMar>
            <w:top w:w="0" w:type="dxa"/>
            <w:left w:w="0" w:type="dxa"/>
            <w:bottom w:w="0" w:type="dxa"/>
            <w:right w:w="0" w:type="dxa"/>
          </w:tblCellMar>
        </w:tblPrEx>
        <w:trPr>
          <w:trHeight w:val="3155" w:hRule="exact"/>
        </w:trPr>
        <w:tc>
          <w:tcPr>
            <w:tcW w:w="706" w:type="dxa"/>
            <w:tcBorders>
              <w:top w:val="single" w:color="000000" w:sz="4" w:space="0"/>
              <w:left w:val="single" w:color="000000" w:sz="4" w:space="0"/>
              <w:bottom w:val="single" w:color="000000" w:sz="4" w:space="0"/>
              <w:right w:val="single" w:color="000000" w:sz="4" w:space="0"/>
            </w:tcBorders>
          </w:tcPr>
          <w:p w14:paraId="4F2E13EC">
            <w:pPr>
              <w:pStyle w:val="15"/>
              <w:rPr>
                <w:rFonts w:ascii="黑体" w:hAnsi="黑体" w:eastAsia="黑体" w:cs="黑体"/>
                <w:sz w:val="20"/>
                <w:szCs w:val="20"/>
              </w:rPr>
            </w:pPr>
          </w:p>
          <w:p w14:paraId="35BF2851">
            <w:pPr>
              <w:pStyle w:val="15"/>
              <w:rPr>
                <w:rFonts w:ascii="黑体" w:hAnsi="黑体" w:eastAsia="黑体" w:cs="黑体"/>
                <w:sz w:val="20"/>
                <w:szCs w:val="20"/>
              </w:rPr>
            </w:pPr>
          </w:p>
          <w:p w14:paraId="017A6E44">
            <w:pPr>
              <w:pStyle w:val="15"/>
              <w:rPr>
                <w:rFonts w:ascii="黑体" w:hAnsi="黑体" w:eastAsia="黑体" w:cs="黑体"/>
                <w:sz w:val="20"/>
                <w:szCs w:val="20"/>
              </w:rPr>
            </w:pPr>
          </w:p>
          <w:p w14:paraId="50E4DB14">
            <w:pPr>
              <w:pStyle w:val="15"/>
              <w:rPr>
                <w:rFonts w:ascii="黑体" w:hAnsi="黑体" w:eastAsia="黑体" w:cs="黑体"/>
                <w:sz w:val="20"/>
                <w:szCs w:val="20"/>
              </w:rPr>
            </w:pPr>
          </w:p>
          <w:p w14:paraId="76B566D4">
            <w:pPr>
              <w:pStyle w:val="15"/>
              <w:rPr>
                <w:rFonts w:ascii="黑体" w:hAnsi="黑体" w:eastAsia="黑体" w:cs="黑体"/>
                <w:sz w:val="20"/>
                <w:szCs w:val="20"/>
              </w:rPr>
            </w:pPr>
          </w:p>
          <w:p w14:paraId="2836D325">
            <w:pPr>
              <w:pStyle w:val="15"/>
              <w:spacing w:before="174"/>
              <w:ind w:left="295"/>
              <w:rPr>
                <w:rFonts w:ascii="宋体" w:hAnsi="宋体" w:eastAsia="宋体" w:cs="宋体"/>
                <w:sz w:val="21"/>
                <w:szCs w:val="21"/>
              </w:rPr>
            </w:pPr>
            <w:r>
              <w:rPr>
                <w:rFonts w:ascii="宋体"/>
                <w:sz w:val="21"/>
              </w:rPr>
              <w:t xml:space="preserve">1 </w:t>
            </w:r>
          </w:p>
        </w:tc>
        <w:tc>
          <w:tcPr>
            <w:tcW w:w="1421" w:type="dxa"/>
            <w:tcBorders>
              <w:top w:val="single" w:color="000000" w:sz="4" w:space="0"/>
              <w:left w:val="single" w:color="000000" w:sz="4" w:space="0"/>
              <w:bottom w:val="single" w:color="000000" w:sz="4" w:space="0"/>
              <w:right w:val="single" w:color="000000" w:sz="4" w:space="0"/>
            </w:tcBorders>
          </w:tcPr>
          <w:p w14:paraId="5A4EFD4B">
            <w:pPr>
              <w:pStyle w:val="15"/>
              <w:rPr>
                <w:rFonts w:ascii="黑体" w:hAnsi="黑体" w:eastAsia="黑体" w:cs="黑体"/>
                <w:sz w:val="20"/>
                <w:szCs w:val="20"/>
              </w:rPr>
            </w:pPr>
          </w:p>
          <w:p w14:paraId="235811B2">
            <w:pPr>
              <w:pStyle w:val="15"/>
              <w:rPr>
                <w:rFonts w:ascii="黑体" w:hAnsi="黑体" w:eastAsia="黑体" w:cs="黑体"/>
                <w:sz w:val="20"/>
                <w:szCs w:val="20"/>
              </w:rPr>
            </w:pPr>
          </w:p>
          <w:p w14:paraId="04AB9F47">
            <w:pPr>
              <w:pStyle w:val="15"/>
              <w:rPr>
                <w:rFonts w:ascii="黑体" w:hAnsi="黑体" w:eastAsia="黑体" w:cs="黑体"/>
                <w:sz w:val="20"/>
                <w:szCs w:val="20"/>
              </w:rPr>
            </w:pPr>
          </w:p>
          <w:p w14:paraId="470A1074">
            <w:pPr>
              <w:pStyle w:val="15"/>
              <w:rPr>
                <w:rFonts w:ascii="黑体" w:hAnsi="黑体" w:eastAsia="黑体" w:cs="黑体"/>
                <w:sz w:val="20"/>
                <w:szCs w:val="20"/>
              </w:rPr>
            </w:pPr>
          </w:p>
          <w:p w14:paraId="68260BAE">
            <w:pPr>
              <w:pStyle w:val="15"/>
              <w:rPr>
                <w:rFonts w:ascii="黑体" w:hAnsi="黑体" w:eastAsia="黑体" w:cs="黑体"/>
                <w:sz w:val="20"/>
                <w:szCs w:val="20"/>
              </w:rPr>
            </w:pPr>
          </w:p>
          <w:p w14:paraId="169AEE60">
            <w:pPr>
              <w:pStyle w:val="15"/>
              <w:spacing w:before="174"/>
              <w:ind w:left="285"/>
              <w:rPr>
                <w:rFonts w:ascii="宋体" w:hAnsi="宋体" w:eastAsia="宋体" w:cs="宋体"/>
                <w:sz w:val="21"/>
                <w:szCs w:val="21"/>
              </w:rPr>
            </w:pPr>
            <w:r>
              <w:rPr>
                <w:rFonts w:ascii="宋体" w:hAnsi="宋体" w:eastAsia="宋体" w:cs="宋体"/>
                <w:sz w:val="21"/>
                <w:szCs w:val="21"/>
              </w:rPr>
              <w:t xml:space="preserve">安装集成 </w:t>
            </w:r>
          </w:p>
        </w:tc>
        <w:tc>
          <w:tcPr>
            <w:tcW w:w="7656" w:type="dxa"/>
            <w:tcBorders>
              <w:top w:val="single" w:color="000000" w:sz="4" w:space="0"/>
              <w:left w:val="single" w:color="000000" w:sz="4" w:space="0"/>
              <w:bottom w:val="single" w:color="000000" w:sz="4" w:space="0"/>
              <w:right w:val="single" w:color="000000" w:sz="4" w:space="0"/>
            </w:tcBorders>
          </w:tcPr>
          <w:p w14:paraId="50B79C62">
            <w:pPr>
              <w:pStyle w:val="15"/>
              <w:numPr>
                <w:ilvl w:val="0"/>
                <w:numId w:val="4"/>
              </w:numPr>
              <w:ind w:left="420" w:hangingChars="200"/>
              <w:rPr>
                <w:rFonts w:ascii="宋体" w:hAnsi="宋体" w:eastAsia="宋体" w:cs="宋体"/>
                <w:sz w:val="21"/>
                <w:szCs w:val="21"/>
                <w:lang w:eastAsia="zh-CN"/>
              </w:rPr>
            </w:pPr>
            <w:r>
              <w:rPr>
                <w:rFonts w:ascii="宋体" w:hAnsi="宋体" w:eastAsia="宋体" w:cs="宋体"/>
                <w:sz w:val="21"/>
                <w:szCs w:val="21"/>
                <w:lang w:eastAsia="zh-CN"/>
              </w:rPr>
              <w:t>应指定专门人员负责整个项目实施，指定现场实施具体负责人</w:t>
            </w:r>
            <w:r>
              <w:rPr>
                <w:rFonts w:ascii="宋体" w:hAnsi="宋体" w:eastAsia="宋体" w:cs="宋体"/>
                <w:spacing w:val="-2"/>
                <w:sz w:val="21"/>
                <w:szCs w:val="21"/>
                <w:lang w:eastAsia="zh-CN"/>
              </w:rPr>
              <w:t>起全权负责项目管理和协调项目中出现的问题，管理项目进</w:t>
            </w:r>
            <w:r>
              <w:rPr>
                <w:rFonts w:ascii="宋体" w:hAnsi="宋体" w:eastAsia="宋体" w:cs="宋体"/>
                <w:spacing w:val="-40"/>
                <w:sz w:val="21"/>
                <w:szCs w:val="21"/>
                <w:lang w:eastAsia="zh-CN"/>
              </w:rPr>
              <w:t xml:space="preserve"> </w:t>
            </w:r>
            <w:r>
              <w:rPr>
                <w:rFonts w:ascii="宋体" w:hAnsi="宋体" w:eastAsia="宋体" w:cs="宋体"/>
                <w:sz w:val="21"/>
                <w:szCs w:val="21"/>
                <w:lang w:eastAsia="zh-CN"/>
              </w:rPr>
              <w:t xml:space="preserve">度、需求变更、协调本方资源等多方面的工作。 </w:t>
            </w:r>
          </w:p>
          <w:p w14:paraId="2EF74EB1">
            <w:pPr>
              <w:pStyle w:val="15"/>
              <w:numPr>
                <w:ilvl w:val="0"/>
                <w:numId w:val="4"/>
              </w:numPr>
              <w:tabs>
                <w:tab w:val="left" w:pos="528"/>
              </w:tabs>
              <w:ind w:left="420"/>
              <w:rPr>
                <w:rFonts w:ascii="宋体" w:hAnsi="宋体" w:eastAsia="宋体" w:cs="宋体"/>
                <w:sz w:val="21"/>
                <w:szCs w:val="21"/>
                <w:lang w:eastAsia="zh-CN"/>
              </w:rPr>
            </w:pPr>
            <w:r>
              <w:rPr>
                <w:rFonts w:ascii="宋体" w:hAnsi="宋体" w:eastAsia="宋体" w:cs="宋体"/>
                <w:sz w:val="21"/>
                <w:szCs w:val="21"/>
                <w:lang w:eastAsia="zh-CN"/>
              </w:rPr>
              <w:t>安排专业人员提供安装调试接通实施服务，本项目报价中已包含相关费用，人不得以任何借口另行收取费用。</w:t>
            </w:r>
          </w:p>
          <w:p w14:paraId="6092B623">
            <w:pPr>
              <w:pStyle w:val="15"/>
              <w:numPr>
                <w:ilvl w:val="0"/>
                <w:numId w:val="4"/>
              </w:numPr>
              <w:tabs>
                <w:tab w:val="left" w:pos="528"/>
              </w:tabs>
              <w:ind w:left="420"/>
              <w:rPr>
                <w:rFonts w:ascii="宋体" w:hAnsi="宋体" w:eastAsia="宋体" w:cs="宋体"/>
                <w:sz w:val="21"/>
                <w:szCs w:val="21"/>
                <w:lang w:eastAsia="zh-CN"/>
              </w:rPr>
            </w:pPr>
            <w:r>
              <w:rPr>
                <w:rFonts w:ascii="宋体" w:hAnsi="宋体" w:eastAsia="宋体" w:cs="宋体"/>
                <w:sz w:val="21"/>
                <w:szCs w:val="21"/>
                <w:lang w:eastAsia="zh-CN"/>
              </w:rPr>
              <w:t>定期回访用户，当出现重大故障问题并影响到实际应用时，中须在最短时间 内响应并派人到现场解决。</w:t>
            </w:r>
            <w:r>
              <w:rPr>
                <w:rFonts w:hint="eastAsia" w:ascii="宋体" w:hAnsi="宋体" w:eastAsia="宋体" w:cs="宋体"/>
                <w:sz w:val="21"/>
                <w:szCs w:val="21"/>
                <w:lang w:eastAsia="zh-CN"/>
              </w:rPr>
              <w:t>或提供备用解决方案。</w:t>
            </w:r>
            <w:r>
              <w:rPr>
                <w:rFonts w:ascii="宋体" w:hAnsi="宋体" w:eastAsia="宋体" w:cs="宋体"/>
                <w:sz w:val="21"/>
                <w:szCs w:val="21"/>
                <w:lang w:eastAsia="zh-CN"/>
              </w:rPr>
              <w:t>工作现场严格遵守招标人的规定。项目实施过程中，因中标人原因引起的招标人财产损失及安全事故，由中标人承担责任。</w:t>
            </w:r>
          </w:p>
        </w:tc>
      </w:tr>
      <w:tr w14:paraId="6AE7F3F8">
        <w:tblPrEx>
          <w:tblCellMar>
            <w:top w:w="0" w:type="dxa"/>
            <w:left w:w="0" w:type="dxa"/>
            <w:bottom w:w="0" w:type="dxa"/>
            <w:right w:w="0" w:type="dxa"/>
          </w:tblCellMar>
        </w:tblPrEx>
        <w:trPr>
          <w:trHeight w:val="3155" w:hRule="exact"/>
        </w:trPr>
        <w:tc>
          <w:tcPr>
            <w:tcW w:w="706" w:type="dxa"/>
            <w:tcBorders>
              <w:top w:val="single" w:color="000000" w:sz="4" w:space="0"/>
              <w:left w:val="single" w:color="000000" w:sz="4" w:space="0"/>
              <w:bottom w:val="single" w:color="000000" w:sz="4" w:space="0"/>
              <w:right w:val="single" w:color="000000" w:sz="4" w:space="0"/>
            </w:tcBorders>
          </w:tcPr>
          <w:p w14:paraId="125A2324">
            <w:pPr>
              <w:pStyle w:val="15"/>
              <w:rPr>
                <w:rFonts w:ascii="黑体" w:hAnsi="黑体" w:eastAsia="黑体" w:cs="黑体"/>
                <w:sz w:val="20"/>
                <w:szCs w:val="20"/>
              </w:rPr>
            </w:pPr>
            <w:r>
              <w:rPr>
                <w:rFonts w:hint="eastAsia" w:ascii="黑体" w:hAnsi="黑体" w:eastAsia="黑体" w:cs="黑体"/>
                <w:sz w:val="20"/>
                <w:szCs w:val="20"/>
                <w:lang w:eastAsia="zh-CN"/>
              </w:rPr>
              <w:t>2</w:t>
            </w:r>
          </w:p>
        </w:tc>
        <w:tc>
          <w:tcPr>
            <w:tcW w:w="1421" w:type="dxa"/>
            <w:tcBorders>
              <w:top w:val="single" w:color="000000" w:sz="4" w:space="0"/>
              <w:left w:val="single" w:color="000000" w:sz="4" w:space="0"/>
              <w:bottom w:val="single" w:color="000000" w:sz="4" w:space="0"/>
              <w:right w:val="single" w:color="000000" w:sz="4" w:space="0"/>
            </w:tcBorders>
          </w:tcPr>
          <w:p w14:paraId="2702EA61">
            <w:pPr>
              <w:pStyle w:val="15"/>
              <w:rPr>
                <w:rFonts w:ascii="黑体" w:hAnsi="黑体" w:eastAsia="黑体" w:cs="黑体"/>
                <w:sz w:val="20"/>
                <w:szCs w:val="20"/>
              </w:rPr>
            </w:pPr>
            <w:r>
              <w:rPr>
                <w:rFonts w:hint="eastAsia" w:ascii="宋体" w:hAnsi="宋体" w:eastAsia="宋体" w:cs="宋体"/>
                <w:sz w:val="21"/>
                <w:szCs w:val="21"/>
                <w:lang w:eastAsia="zh-CN"/>
              </w:rPr>
              <w:t>保修期限及内容</w:t>
            </w:r>
          </w:p>
        </w:tc>
        <w:tc>
          <w:tcPr>
            <w:tcW w:w="7656" w:type="dxa"/>
            <w:tcBorders>
              <w:top w:val="single" w:color="000000" w:sz="4" w:space="0"/>
              <w:left w:val="single" w:color="000000" w:sz="4" w:space="0"/>
              <w:bottom w:val="single" w:color="000000" w:sz="4" w:space="0"/>
              <w:right w:val="single" w:color="000000" w:sz="4" w:space="0"/>
            </w:tcBorders>
          </w:tcPr>
          <w:p w14:paraId="35E65DF6">
            <w:pPr>
              <w:pStyle w:val="15"/>
              <w:numPr>
                <w:ilvl w:val="0"/>
                <w:numId w:val="5"/>
              </w:numPr>
              <w:jc w:val="both"/>
              <w:rPr>
                <w:rFonts w:ascii="宋体" w:hAnsi="宋体" w:eastAsia="宋体" w:cs="宋体"/>
                <w:sz w:val="21"/>
                <w:szCs w:val="21"/>
                <w:lang w:eastAsia="zh-CN"/>
              </w:rPr>
            </w:pPr>
            <w:r>
              <w:rPr>
                <w:rFonts w:hint="eastAsia" w:ascii="宋体" w:hAnsi="宋体" w:eastAsia="宋体" w:cs="宋体"/>
                <w:sz w:val="21"/>
                <w:szCs w:val="21"/>
                <w:lang w:eastAsia="zh-CN"/>
              </w:rPr>
              <w:t>自项目终验之日起，</w:t>
            </w:r>
            <w:r>
              <w:rPr>
                <w:rFonts w:hint="eastAsia" w:ascii="宋体" w:hAnsi="宋体" w:eastAsia="宋体" w:cs="宋体"/>
                <w:sz w:val="21"/>
                <w:szCs w:val="21"/>
                <w:lang w:val="en-US" w:eastAsia="zh-CN"/>
              </w:rPr>
              <w:t>成交企业</w:t>
            </w:r>
            <w:r>
              <w:rPr>
                <w:rFonts w:hint="eastAsia" w:ascii="宋体" w:hAnsi="宋体" w:eastAsia="宋体" w:cs="宋体"/>
                <w:sz w:val="21"/>
                <w:szCs w:val="21"/>
                <w:lang w:eastAsia="zh-CN"/>
              </w:rPr>
              <w:t>对所有投标产品提供十年的免费质保服务。</w:t>
            </w:r>
          </w:p>
          <w:p w14:paraId="61AF6E39">
            <w:pPr>
              <w:pStyle w:val="15"/>
              <w:numPr>
                <w:ilvl w:val="0"/>
                <w:numId w:val="5"/>
              </w:numPr>
              <w:jc w:val="both"/>
              <w:rPr>
                <w:rFonts w:ascii="宋体" w:hAnsi="宋体" w:eastAsia="宋体" w:cs="宋体"/>
                <w:sz w:val="21"/>
                <w:szCs w:val="21"/>
                <w:lang w:eastAsia="zh-CN"/>
              </w:rPr>
            </w:pPr>
            <w:r>
              <w:rPr>
                <w:rFonts w:hint="eastAsia" w:ascii="宋体" w:hAnsi="宋体" w:eastAsia="宋体" w:cs="宋体"/>
                <w:sz w:val="21"/>
                <w:szCs w:val="21"/>
                <w:lang w:eastAsia="zh-CN"/>
              </w:rPr>
              <w:t>免费质保服务包括：在办公家具设备的日常正常使用情况下发生非人为的不正常的损坏及不能正常使用提供维修和维保服务等。</w:t>
            </w:r>
          </w:p>
          <w:p w14:paraId="222461F7">
            <w:pPr>
              <w:pStyle w:val="15"/>
              <w:numPr>
                <w:ilvl w:val="0"/>
                <w:numId w:val="5"/>
              </w:numPr>
              <w:jc w:val="both"/>
              <w:rPr>
                <w:rFonts w:ascii="宋体" w:hAnsi="宋体" w:eastAsia="宋体" w:cs="宋体"/>
                <w:sz w:val="21"/>
                <w:szCs w:val="21"/>
                <w:lang w:eastAsia="zh-CN"/>
              </w:rPr>
            </w:pPr>
            <w:r>
              <w:rPr>
                <w:rFonts w:hint="eastAsia" w:ascii="宋体" w:hAnsi="宋体" w:eastAsia="宋体" w:cs="宋体"/>
                <w:sz w:val="21"/>
                <w:szCs w:val="21"/>
                <w:lang w:eastAsia="zh-CN"/>
              </w:rPr>
              <w:t>投标人需提供</w:t>
            </w:r>
            <w:r>
              <w:rPr>
                <w:rFonts w:ascii="宋体" w:hAnsi="宋体" w:eastAsia="宋体" w:cs="宋体"/>
                <w:sz w:val="21"/>
                <w:szCs w:val="21"/>
                <w:lang w:eastAsia="zh-CN"/>
              </w:rPr>
              <w:t>7</w:t>
            </w:r>
            <w:r>
              <w:rPr>
                <w:rFonts w:ascii="Wingdings 2" w:hAnsi="Wingdings 2" w:eastAsia="宋体" w:cs="宋体"/>
                <w:sz w:val="21"/>
                <w:szCs w:val="21"/>
                <w:lang w:eastAsia="zh-CN"/>
              </w:rPr>
              <w:t></w:t>
            </w:r>
            <w:r>
              <w:rPr>
                <w:rFonts w:ascii="宋体" w:hAnsi="宋体" w:eastAsia="宋体" w:cs="宋体"/>
                <w:sz w:val="21"/>
                <w:szCs w:val="21"/>
                <w:lang w:eastAsia="zh-CN"/>
              </w:rPr>
              <w:t>24</w:t>
            </w:r>
            <w:r>
              <w:rPr>
                <w:rFonts w:hint="eastAsia" w:ascii="宋体" w:hAnsi="宋体" w:eastAsia="宋体" w:cs="宋体"/>
                <w:sz w:val="21"/>
                <w:szCs w:val="21"/>
                <w:lang w:eastAsia="zh-CN"/>
              </w:rPr>
              <w:t>小时的电话技术支持和服务；3</w:t>
            </w:r>
            <w:r>
              <w:rPr>
                <w:rFonts w:ascii="宋体" w:hAnsi="宋体" w:eastAsia="宋体" w:cs="宋体"/>
                <w:sz w:val="21"/>
                <w:szCs w:val="21"/>
                <w:lang w:eastAsia="zh-CN"/>
              </w:rPr>
              <w:t>0</w:t>
            </w:r>
            <w:r>
              <w:rPr>
                <w:rFonts w:hint="eastAsia" w:ascii="宋体" w:hAnsi="宋体" w:eastAsia="宋体" w:cs="宋体"/>
                <w:sz w:val="21"/>
                <w:szCs w:val="21"/>
                <w:lang w:eastAsia="zh-CN"/>
              </w:rPr>
              <w:t>分钟内做出实质性响应，2小时内到达指定现场，2</w:t>
            </w:r>
            <w:r>
              <w:rPr>
                <w:rFonts w:ascii="宋体" w:hAnsi="宋体" w:eastAsia="宋体" w:cs="宋体"/>
                <w:sz w:val="21"/>
                <w:szCs w:val="21"/>
                <w:lang w:eastAsia="zh-CN"/>
              </w:rPr>
              <w:t>4</w:t>
            </w:r>
            <w:r>
              <w:rPr>
                <w:rFonts w:hint="eastAsia" w:ascii="宋体" w:hAnsi="宋体" w:eastAsia="宋体" w:cs="宋体"/>
                <w:sz w:val="21"/>
                <w:szCs w:val="21"/>
                <w:lang w:eastAsia="zh-CN"/>
              </w:rPr>
              <w:t>小时内解决问题。须指定专人提供质保服务。服务方式包括电话、互联网、E-mail和现场等方式。</w:t>
            </w:r>
          </w:p>
          <w:p w14:paraId="68CF11BA">
            <w:pPr>
              <w:pStyle w:val="15"/>
              <w:numPr>
                <w:ilvl w:val="0"/>
                <w:numId w:val="4"/>
              </w:numPr>
              <w:ind w:left="420" w:hangingChars="200"/>
              <w:rPr>
                <w:rFonts w:ascii="宋体" w:hAnsi="宋体" w:eastAsia="宋体" w:cs="宋体"/>
                <w:sz w:val="21"/>
                <w:szCs w:val="21"/>
                <w:lang w:eastAsia="zh-CN"/>
              </w:rPr>
            </w:pPr>
            <w:r>
              <w:rPr>
                <w:rFonts w:hint="eastAsia" w:ascii="宋体" w:hAnsi="宋体" w:eastAsia="宋体" w:cs="宋体"/>
                <w:sz w:val="21"/>
                <w:szCs w:val="21"/>
                <w:lang w:eastAsia="zh-CN"/>
              </w:rPr>
              <w:t>投标人具有固定的经营服务场所，具有响应的服务设施、工具、车辆等，并提供证明。</w:t>
            </w:r>
          </w:p>
        </w:tc>
      </w:tr>
      <w:tr w14:paraId="2CFA591A">
        <w:tblPrEx>
          <w:tblCellMar>
            <w:top w:w="0" w:type="dxa"/>
            <w:left w:w="0" w:type="dxa"/>
            <w:bottom w:w="0" w:type="dxa"/>
            <w:right w:w="0" w:type="dxa"/>
          </w:tblCellMar>
        </w:tblPrEx>
        <w:trPr>
          <w:trHeight w:val="3155" w:hRule="exact"/>
        </w:trPr>
        <w:tc>
          <w:tcPr>
            <w:tcW w:w="706" w:type="dxa"/>
            <w:tcBorders>
              <w:top w:val="single" w:color="000000" w:sz="4" w:space="0"/>
              <w:left w:val="single" w:color="000000" w:sz="4" w:space="0"/>
              <w:bottom w:val="single" w:color="000000" w:sz="4" w:space="0"/>
              <w:right w:val="single" w:color="000000" w:sz="4" w:space="0"/>
            </w:tcBorders>
          </w:tcPr>
          <w:p w14:paraId="5F876468">
            <w:pPr>
              <w:pStyle w:val="15"/>
              <w:rPr>
                <w:rFonts w:ascii="黑体" w:hAnsi="黑体" w:eastAsia="黑体" w:cs="黑体"/>
                <w:sz w:val="20"/>
                <w:szCs w:val="20"/>
                <w:lang w:eastAsia="zh-CN"/>
              </w:rPr>
            </w:pPr>
            <w:r>
              <w:rPr>
                <w:rFonts w:hint="eastAsia" w:ascii="黑体" w:hAnsi="黑体" w:eastAsia="黑体" w:cs="黑体"/>
                <w:sz w:val="20"/>
                <w:szCs w:val="20"/>
                <w:lang w:eastAsia="zh-CN"/>
              </w:rPr>
              <w:t>3</w:t>
            </w:r>
          </w:p>
        </w:tc>
        <w:tc>
          <w:tcPr>
            <w:tcW w:w="1421" w:type="dxa"/>
            <w:tcBorders>
              <w:top w:val="single" w:color="000000" w:sz="4" w:space="0"/>
              <w:left w:val="single" w:color="000000" w:sz="4" w:space="0"/>
              <w:bottom w:val="single" w:color="000000" w:sz="4" w:space="0"/>
              <w:right w:val="single" w:color="000000" w:sz="4" w:space="0"/>
            </w:tcBorders>
          </w:tcPr>
          <w:p w14:paraId="6823D899">
            <w:pPr>
              <w:pStyle w:val="15"/>
              <w:rPr>
                <w:rFonts w:ascii="宋体" w:hAnsi="宋体" w:eastAsia="宋体" w:cs="宋体"/>
                <w:sz w:val="21"/>
                <w:szCs w:val="21"/>
                <w:lang w:eastAsia="zh-CN"/>
              </w:rPr>
            </w:pPr>
            <w:r>
              <w:rPr>
                <w:rFonts w:hint="eastAsia" w:ascii="宋体" w:hAnsi="宋体" w:eastAsia="宋体" w:cs="宋体"/>
                <w:sz w:val="21"/>
                <w:szCs w:val="21"/>
                <w:lang w:eastAsia="zh-CN"/>
              </w:rPr>
              <w:t>超出保修期维保费用</w:t>
            </w:r>
          </w:p>
        </w:tc>
        <w:tc>
          <w:tcPr>
            <w:tcW w:w="7656" w:type="dxa"/>
            <w:tcBorders>
              <w:top w:val="single" w:color="000000" w:sz="4" w:space="0"/>
              <w:left w:val="single" w:color="000000" w:sz="4" w:space="0"/>
              <w:bottom w:val="single" w:color="000000" w:sz="4" w:space="0"/>
              <w:right w:val="single" w:color="000000" w:sz="4" w:space="0"/>
            </w:tcBorders>
          </w:tcPr>
          <w:p w14:paraId="42395839">
            <w:pPr>
              <w:pStyle w:val="8"/>
              <w:numPr>
                <w:ilvl w:val="0"/>
                <w:numId w:val="1"/>
              </w:numPr>
              <w:jc w:val="both"/>
              <w:rPr>
                <w:rFonts w:ascii="宋体" w:hAnsi="宋体" w:cs="宋体"/>
                <w:szCs w:val="21"/>
              </w:rPr>
            </w:pPr>
            <w:r>
              <w:rPr>
                <w:rFonts w:hint="eastAsia" w:ascii="宋体" w:hAnsi="宋体" w:cs="宋体"/>
                <w:szCs w:val="21"/>
              </w:rPr>
              <w:t>免费服务期满后，如仍需</w:t>
            </w:r>
            <w:r>
              <w:rPr>
                <w:rFonts w:hint="eastAsia" w:ascii="宋体" w:hAnsi="宋体" w:cs="宋体"/>
                <w:szCs w:val="21"/>
                <w:lang w:val="en-US" w:eastAsia="zh-CN"/>
              </w:rPr>
              <w:t>成交</w:t>
            </w:r>
            <w:r>
              <w:rPr>
                <w:rFonts w:hint="eastAsia" w:ascii="宋体" w:hAnsi="宋体" w:cs="宋体"/>
                <w:szCs w:val="21"/>
              </w:rPr>
              <w:t>企业继续提供维护服务，双方另行协商，维护费不得高于本合同金额的8</w:t>
            </w:r>
            <w:r>
              <w:rPr>
                <w:rFonts w:ascii="宋体" w:hAnsi="宋体" w:cs="宋体"/>
                <w:szCs w:val="21"/>
              </w:rPr>
              <w:t>%</w:t>
            </w:r>
            <w:r>
              <w:rPr>
                <w:rFonts w:hint="eastAsia" w:ascii="宋体" w:hAnsi="宋体" w:cs="宋体"/>
                <w:szCs w:val="21"/>
              </w:rPr>
              <w:t>（百分之捌）</w:t>
            </w:r>
          </w:p>
        </w:tc>
      </w:tr>
      <w:tr w14:paraId="5A8F7E2B">
        <w:tblPrEx>
          <w:tblCellMar>
            <w:top w:w="0" w:type="dxa"/>
            <w:left w:w="0" w:type="dxa"/>
            <w:bottom w:w="0" w:type="dxa"/>
            <w:right w:w="0" w:type="dxa"/>
          </w:tblCellMar>
        </w:tblPrEx>
        <w:trPr>
          <w:trHeight w:val="3155" w:hRule="exact"/>
        </w:trPr>
        <w:tc>
          <w:tcPr>
            <w:tcW w:w="706" w:type="dxa"/>
            <w:tcBorders>
              <w:top w:val="single" w:color="000000" w:sz="4" w:space="0"/>
              <w:left w:val="single" w:color="000000" w:sz="4" w:space="0"/>
              <w:bottom w:val="single" w:color="000000" w:sz="4" w:space="0"/>
              <w:right w:val="single" w:color="000000" w:sz="4" w:space="0"/>
            </w:tcBorders>
          </w:tcPr>
          <w:p w14:paraId="1B38FE7C">
            <w:pPr>
              <w:pStyle w:val="15"/>
              <w:rPr>
                <w:rFonts w:ascii="黑体" w:hAnsi="黑体" w:eastAsia="黑体" w:cs="黑体"/>
                <w:sz w:val="20"/>
                <w:szCs w:val="20"/>
                <w:lang w:eastAsia="zh-CN"/>
              </w:rPr>
            </w:pPr>
            <w:r>
              <w:rPr>
                <w:rFonts w:ascii="黑体" w:hAnsi="黑体" w:eastAsia="黑体" w:cs="黑体"/>
                <w:sz w:val="20"/>
                <w:szCs w:val="20"/>
                <w:lang w:eastAsia="zh-CN"/>
              </w:rPr>
              <w:t>4</w:t>
            </w:r>
          </w:p>
        </w:tc>
        <w:tc>
          <w:tcPr>
            <w:tcW w:w="1421" w:type="dxa"/>
            <w:tcBorders>
              <w:top w:val="single" w:color="000000" w:sz="4" w:space="0"/>
              <w:left w:val="single" w:color="000000" w:sz="4" w:space="0"/>
              <w:bottom w:val="single" w:color="000000" w:sz="4" w:space="0"/>
              <w:right w:val="single" w:color="000000" w:sz="4" w:space="0"/>
            </w:tcBorders>
          </w:tcPr>
          <w:p w14:paraId="74878BD3">
            <w:pPr>
              <w:pStyle w:val="15"/>
              <w:rPr>
                <w:rFonts w:ascii="宋体" w:hAnsi="宋体" w:eastAsia="宋体" w:cs="宋体"/>
                <w:sz w:val="21"/>
                <w:szCs w:val="21"/>
                <w:lang w:eastAsia="zh-CN"/>
              </w:rPr>
            </w:pPr>
            <w:r>
              <w:rPr>
                <w:rFonts w:hint="eastAsia" w:ascii="宋体" w:hAnsi="宋体" w:eastAsia="宋体" w:cs="宋体"/>
                <w:sz w:val="21"/>
                <w:szCs w:val="21"/>
                <w:lang w:eastAsia="zh-CN"/>
              </w:rPr>
              <w:t>交付时间</w:t>
            </w:r>
          </w:p>
        </w:tc>
        <w:tc>
          <w:tcPr>
            <w:tcW w:w="7656" w:type="dxa"/>
            <w:tcBorders>
              <w:top w:val="single" w:color="000000" w:sz="4" w:space="0"/>
              <w:left w:val="single" w:color="000000" w:sz="4" w:space="0"/>
              <w:bottom w:val="single" w:color="000000" w:sz="4" w:space="0"/>
              <w:right w:val="single" w:color="000000" w:sz="4" w:space="0"/>
            </w:tcBorders>
          </w:tcPr>
          <w:p w14:paraId="0F0C0103">
            <w:pPr>
              <w:pStyle w:val="8"/>
              <w:numPr>
                <w:ilvl w:val="0"/>
                <w:numId w:val="1"/>
              </w:numPr>
              <w:jc w:val="both"/>
              <w:rPr>
                <w:rFonts w:ascii="宋体" w:hAnsi="宋体" w:cs="宋体"/>
                <w:szCs w:val="21"/>
              </w:rPr>
            </w:pPr>
            <w:r>
              <w:rPr>
                <w:rFonts w:hint="eastAsia" w:ascii="宋体" w:hAnsi="宋体" w:cs="宋体"/>
                <w:szCs w:val="21"/>
              </w:rPr>
              <w:t>签订合同后6</w:t>
            </w:r>
            <w:r>
              <w:rPr>
                <w:rFonts w:ascii="宋体" w:hAnsi="宋体" w:cs="宋体"/>
                <w:szCs w:val="21"/>
              </w:rPr>
              <w:t>0</w:t>
            </w:r>
            <w:r>
              <w:rPr>
                <w:rFonts w:hint="eastAsia" w:ascii="宋体" w:hAnsi="宋体" w:cs="宋体"/>
                <w:szCs w:val="21"/>
              </w:rPr>
              <w:t>日内交付安装完成，投入使用</w:t>
            </w:r>
          </w:p>
        </w:tc>
      </w:tr>
    </w:tbl>
    <w:p w14:paraId="4DE82CA9">
      <w:pPr>
        <w:rPr>
          <w:rFonts w:ascii="微软雅黑" w:hAnsi="微软雅黑" w:eastAsia="微软雅黑"/>
          <w:sz w:val="24"/>
          <w:szCs w:val="24"/>
        </w:rPr>
      </w:pPr>
      <w:r>
        <w:rPr>
          <w:rFonts w:ascii="微软雅黑" w:hAnsi="微软雅黑" w:eastAsia="微软雅黑"/>
          <w:sz w:val="24"/>
          <w:szCs w:val="24"/>
        </w:rPr>
        <w:br w:type="page"/>
      </w:r>
    </w:p>
    <w:p w14:paraId="5FCA7493">
      <w:pPr>
        <w:pStyle w:val="4"/>
        <w:spacing w:line="360" w:lineRule="auto"/>
        <w:ind w:left="840" w:firstLine="1677" w:firstLineChars="464"/>
        <w:outlineLvl w:val="0"/>
        <w:rPr>
          <w:b/>
          <w:color w:val="000000"/>
          <w:sz w:val="36"/>
          <w:szCs w:val="36"/>
        </w:rPr>
      </w:pPr>
      <w:r>
        <w:rPr>
          <w:rFonts w:hint="eastAsia"/>
          <w:b/>
          <w:color w:val="000000"/>
          <w:sz w:val="36"/>
          <w:szCs w:val="36"/>
        </w:rPr>
        <w:t>比选标准</w:t>
      </w:r>
    </w:p>
    <w:p w14:paraId="1D5D8B39">
      <w:pPr>
        <w:pStyle w:val="5"/>
        <w:spacing w:line="240" w:lineRule="auto"/>
        <w:ind w:firstLine="0" w:firstLineChars="0"/>
        <w:outlineLvl w:val="0"/>
        <w:rPr>
          <w:rFonts w:ascii="宋体" w:eastAsia="宋体"/>
          <w:b/>
          <w:color w:val="000000"/>
        </w:rPr>
      </w:pPr>
      <w:bookmarkStart w:id="0" w:name="_Toc429147472"/>
      <w:r>
        <w:rPr>
          <w:rFonts w:hint="eastAsia" w:ascii="宋体" w:eastAsia="宋体"/>
          <w:b/>
          <w:color w:val="000000"/>
        </w:rPr>
        <w:t>1、比选方法</w:t>
      </w:r>
      <w:bookmarkEnd w:id="0"/>
    </w:p>
    <w:p w14:paraId="2663E277">
      <w:pPr>
        <w:spacing w:line="400" w:lineRule="exact"/>
        <w:ind w:firstLine="480" w:firstLineChars="200"/>
        <w:jc w:val="left"/>
        <w:rPr>
          <w:rFonts w:ascii="宋体"/>
          <w:color w:val="000000"/>
          <w:sz w:val="24"/>
        </w:rPr>
      </w:pPr>
      <w:r>
        <w:rPr>
          <w:rFonts w:hint="eastAsia" w:ascii="宋体"/>
          <w:color w:val="000000"/>
          <w:sz w:val="24"/>
        </w:rPr>
        <w:t>本项目采用综合评分法，即在最大限度满足需求文件实质性要求前提下，由比选委员会对各比选人报价、比选设备技术参数与功能配置、品牌、市场占有率、售后服务承诺、用户印象等方面进行综合评审。经各评委独立打分，按总得分从高到低顺序推荐确定成交候选人。</w:t>
      </w:r>
    </w:p>
    <w:p w14:paraId="7904712D">
      <w:pPr>
        <w:pStyle w:val="4"/>
        <w:numPr>
          <w:ilvl w:val="0"/>
          <w:numId w:val="6"/>
        </w:numPr>
        <w:spacing w:line="380" w:lineRule="exact"/>
        <w:jc w:val="left"/>
        <w:rPr>
          <w:color w:val="000000"/>
          <w:szCs w:val="24"/>
        </w:rPr>
      </w:pPr>
      <w:r>
        <w:rPr>
          <w:rFonts w:hint="eastAsia"/>
          <w:b/>
          <w:color w:val="000000"/>
        </w:rPr>
        <w:t>评分标准：</w:t>
      </w:r>
      <w:r>
        <w:rPr>
          <w:rFonts w:hint="eastAsia"/>
          <w:color w:val="000000"/>
          <w:szCs w:val="24"/>
        </w:rPr>
        <w:t>总分100分，其中技术分</w:t>
      </w:r>
      <w:r>
        <w:rPr>
          <w:rFonts w:hint="eastAsia"/>
          <w:b/>
          <w:bCs/>
          <w:color w:val="000000"/>
          <w:szCs w:val="24"/>
        </w:rPr>
        <w:t>70</w:t>
      </w:r>
      <w:r>
        <w:rPr>
          <w:rFonts w:hint="eastAsia"/>
          <w:color w:val="000000"/>
          <w:szCs w:val="24"/>
        </w:rPr>
        <w:t>分，商务分</w:t>
      </w:r>
      <w:r>
        <w:rPr>
          <w:rFonts w:hint="eastAsia"/>
          <w:b/>
          <w:bCs/>
          <w:color w:val="000000"/>
          <w:szCs w:val="24"/>
        </w:rPr>
        <w:t>30</w:t>
      </w:r>
      <w:r>
        <w:rPr>
          <w:rFonts w:hint="eastAsia"/>
          <w:color w:val="000000"/>
          <w:szCs w:val="24"/>
        </w:rPr>
        <w:t>分。评分依下述所列为评标打分依据，分值如下（本次评标评委由3人或3人以上单数组成，评分计算技术分时，平均值保留小数2位）：</w:t>
      </w:r>
    </w:p>
    <w:p w14:paraId="32F270BC">
      <w:pPr>
        <w:rPr>
          <w:rFonts w:ascii="宋体"/>
          <w:b/>
          <w:color w:val="000000"/>
          <w:sz w:val="24"/>
        </w:rPr>
      </w:pPr>
      <w:r>
        <w:rPr>
          <w:rFonts w:hint="eastAsia" w:ascii="宋体"/>
          <w:b/>
          <w:color w:val="000000"/>
          <w:sz w:val="24"/>
        </w:rPr>
        <w:t xml:space="preserve">2.1、01标技术分（ </w:t>
      </w:r>
      <w:r>
        <w:rPr>
          <w:rFonts w:hint="eastAsia" w:ascii="宋体"/>
          <w:b/>
          <w:color w:val="000000"/>
          <w:sz w:val="28"/>
          <w:szCs w:val="28"/>
        </w:rPr>
        <w:t xml:space="preserve">70 </w:t>
      </w:r>
      <w:r>
        <w:rPr>
          <w:rFonts w:hint="eastAsia" w:ascii="宋体"/>
          <w:b/>
          <w:color w:val="000000"/>
          <w:sz w:val="24"/>
        </w:rPr>
        <w:t>分）</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220"/>
        <w:gridCol w:w="1194"/>
        <w:gridCol w:w="5930"/>
      </w:tblGrid>
      <w:tr w14:paraId="456D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788B511E">
            <w:pPr>
              <w:rPr>
                <w:szCs w:val="21"/>
              </w:rPr>
            </w:pPr>
            <w:r>
              <w:rPr>
                <w:rFonts w:hint="eastAsia"/>
                <w:szCs w:val="21"/>
              </w:rPr>
              <w:t>序号</w:t>
            </w:r>
          </w:p>
        </w:tc>
        <w:tc>
          <w:tcPr>
            <w:tcW w:w="649" w:type="pct"/>
          </w:tcPr>
          <w:p w14:paraId="13B3E057">
            <w:pPr>
              <w:rPr>
                <w:szCs w:val="21"/>
              </w:rPr>
            </w:pPr>
            <w:r>
              <w:rPr>
                <w:rFonts w:hint="eastAsia"/>
                <w:szCs w:val="21"/>
              </w:rPr>
              <w:t>评审因素</w:t>
            </w:r>
          </w:p>
        </w:tc>
        <w:tc>
          <w:tcPr>
            <w:tcW w:w="635" w:type="pct"/>
          </w:tcPr>
          <w:p w14:paraId="5C104C4B">
            <w:pPr>
              <w:rPr>
                <w:szCs w:val="21"/>
              </w:rPr>
            </w:pPr>
            <w:r>
              <w:rPr>
                <w:rFonts w:hint="eastAsia"/>
                <w:szCs w:val="21"/>
              </w:rPr>
              <w:t>分值</w:t>
            </w:r>
          </w:p>
        </w:tc>
        <w:tc>
          <w:tcPr>
            <w:tcW w:w="3155" w:type="pct"/>
          </w:tcPr>
          <w:p w14:paraId="76B22791">
            <w:pPr>
              <w:rPr>
                <w:szCs w:val="21"/>
              </w:rPr>
            </w:pPr>
            <w:r>
              <w:rPr>
                <w:rFonts w:hint="eastAsia"/>
                <w:szCs w:val="21"/>
              </w:rPr>
              <w:t>评分标准说明</w:t>
            </w:r>
          </w:p>
        </w:tc>
      </w:tr>
      <w:tr w14:paraId="0E80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rPr>
        <w:tc>
          <w:tcPr>
            <w:tcW w:w="559" w:type="pct"/>
          </w:tcPr>
          <w:p w14:paraId="0BE98771">
            <w:pPr>
              <w:rPr>
                <w:szCs w:val="21"/>
              </w:rPr>
            </w:pPr>
            <w:r>
              <w:rPr>
                <w:rFonts w:hint="eastAsia"/>
                <w:szCs w:val="21"/>
              </w:rPr>
              <w:t>1</w:t>
            </w:r>
          </w:p>
        </w:tc>
        <w:tc>
          <w:tcPr>
            <w:tcW w:w="649" w:type="pct"/>
          </w:tcPr>
          <w:p w14:paraId="23AEA493">
            <w:pPr>
              <w:jc w:val="center"/>
              <w:rPr>
                <w:szCs w:val="21"/>
              </w:rPr>
            </w:pPr>
            <w:r>
              <w:rPr>
                <w:rFonts w:hint="eastAsia"/>
                <w:szCs w:val="21"/>
              </w:rPr>
              <w:t>技术方案</w:t>
            </w:r>
          </w:p>
          <w:p w14:paraId="18FDC296">
            <w:pPr>
              <w:jc w:val="center"/>
              <w:rPr>
                <w:szCs w:val="21"/>
              </w:rPr>
            </w:pPr>
          </w:p>
        </w:tc>
        <w:tc>
          <w:tcPr>
            <w:tcW w:w="635" w:type="pct"/>
          </w:tcPr>
          <w:p w14:paraId="0D66CA8B">
            <w:pPr>
              <w:rPr>
                <w:szCs w:val="21"/>
              </w:rPr>
            </w:pPr>
            <w:r>
              <w:rPr>
                <w:rFonts w:hint="eastAsia"/>
                <w:szCs w:val="21"/>
              </w:rPr>
              <w:t>3</w:t>
            </w:r>
            <w:r>
              <w:rPr>
                <w:szCs w:val="21"/>
              </w:rPr>
              <w:t>0</w:t>
            </w:r>
          </w:p>
        </w:tc>
        <w:tc>
          <w:tcPr>
            <w:tcW w:w="3155" w:type="pct"/>
          </w:tcPr>
          <w:p w14:paraId="1B813CAE">
            <w:pPr>
              <w:rPr>
                <w:szCs w:val="21"/>
              </w:rPr>
            </w:pPr>
            <w:r>
              <w:rPr>
                <w:rFonts w:hint="eastAsia"/>
                <w:szCs w:val="21"/>
              </w:rPr>
              <w:t>根据报价人提供的技术方案进行考察</w:t>
            </w:r>
            <w:r>
              <w:rPr>
                <w:szCs w:val="21"/>
              </w:rPr>
              <w:t>,包括:方案的完整性、</w:t>
            </w:r>
            <w:r>
              <w:rPr>
                <w:rFonts w:hint="eastAsia"/>
                <w:szCs w:val="21"/>
              </w:rPr>
              <w:t>专业性</w:t>
            </w:r>
            <w:r>
              <w:rPr>
                <w:szCs w:val="21"/>
              </w:rPr>
              <w:t>,对用户需求的理解程度,针对性可行性;相关证明</w:t>
            </w:r>
            <w:r>
              <w:rPr>
                <w:rFonts w:hint="eastAsia"/>
                <w:szCs w:val="21"/>
              </w:rPr>
              <w:t>文件是否提供等。对各报价人进行横向对比评分。</w:t>
            </w:r>
          </w:p>
          <w:p w14:paraId="0108E8BB">
            <w:pPr>
              <w:rPr>
                <w:szCs w:val="21"/>
              </w:rPr>
            </w:pPr>
            <w:r>
              <w:rPr>
                <w:rFonts w:hint="eastAsia"/>
                <w:szCs w:val="21"/>
              </w:rPr>
              <w:t>方案周密完善、针对性强可行性足、证明文件齐全</w:t>
            </w:r>
            <w:r>
              <w:rPr>
                <w:szCs w:val="21"/>
              </w:rPr>
              <w:t>,得</w:t>
            </w:r>
            <w:r>
              <w:rPr>
                <w:rFonts w:hint="eastAsia"/>
                <w:szCs w:val="21"/>
              </w:rPr>
              <w:t>3</w:t>
            </w:r>
            <w:r>
              <w:rPr>
                <w:szCs w:val="21"/>
              </w:rPr>
              <w:t>0</w:t>
            </w:r>
            <w:r>
              <w:rPr>
                <w:rFonts w:hint="eastAsia"/>
                <w:szCs w:val="21"/>
              </w:rPr>
              <w:t>分</w:t>
            </w:r>
            <w:r>
              <w:rPr>
                <w:szCs w:val="21"/>
              </w:rPr>
              <w:t>;</w:t>
            </w:r>
          </w:p>
          <w:p w14:paraId="016456A6">
            <w:pPr>
              <w:rPr>
                <w:szCs w:val="21"/>
              </w:rPr>
            </w:pPr>
            <w:r>
              <w:rPr>
                <w:szCs w:val="21"/>
              </w:rPr>
              <w:t>方案基本完整、针对性可行性略有不足、证明文件全,得</w:t>
            </w:r>
          </w:p>
          <w:p w14:paraId="015CBFBA">
            <w:pPr>
              <w:rPr>
                <w:szCs w:val="21"/>
              </w:rPr>
            </w:pPr>
            <w:r>
              <w:rPr>
                <w:rFonts w:hint="eastAsia"/>
                <w:szCs w:val="21"/>
              </w:rPr>
              <w:t>25</w:t>
            </w:r>
            <w:r>
              <w:rPr>
                <w:szCs w:val="21"/>
              </w:rPr>
              <w:t>分;</w:t>
            </w:r>
          </w:p>
          <w:p w14:paraId="5E33F67F">
            <w:pPr>
              <w:rPr>
                <w:szCs w:val="21"/>
              </w:rPr>
            </w:pPr>
            <w:r>
              <w:rPr>
                <w:rFonts w:hint="eastAsia"/>
                <w:szCs w:val="21"/>
              </w:rPr>
              <w:t>方案有瑕疵、针对性可行性较弱、证明文件不足</w:t>
            </w:r>
            <w:r>
              <w:rPr>
                <w:szCs w:val="21"/>
              </w:rPr>
              <w:t>,得</w:t>
            </w:r>
            <w:r>
              <w:rPr>
                <w:rFonts w:hint="eastAsia"/>
                <w:szCs w:val="21"/>
              </w:rPr>
              <w:t>20</w:t>
            </w:r>
            <w:r>
              <w:rPr>
                <w:szCs w:val="21"/>
              </w:rPr>
              <w:t>分;</w:t>
            </w:r>
          </w:p>
          <w:p w14:paraId="0F9B38D3">
            <w:pPr>
              <w:rPr>
                <w:szCs w:val="21"/>
              </w:rPr>
            </w:pPr>
            <w:r>
              <w:rPr>
                <w:rFonts w:hint="eastAsia"/>
                <w:szCs w:val="21"/>
              </w:rPr>
              <w:t>方案不完整、针对性可行性弱、证明文件不足</w:t>
            </w:r>
            <w:r>
              <w:rPr>
                <w:szCs w:val="21"/>
              </w:rPr>
              <w:t>,得1</w:t>
            </w:r>
            <w:r>
              <w:rPr>
                <w:rFonts w:hint="eastAsia"/>
                <w:szCs w:val="21"/>
              </w:rPr>
              <w:t>5</w:t>
            </w:r>
            <w:r>
              <w:rPr>
                <w:szCs w:val="21"/>
              </w:rPr>
              <w:t>分</w:t>
            </w:r>
          </w:p>
          <w:p w14:paraId="5A1EA15F">
            <w:pPr>
              <w:rPr>
                <w:szCs w:val="21"/>
              </w:rPr>
            </w:pPr>
            <w:r>
              <w:rPr>
                <w:rFonts w:hint="eastAsia"/>
                <w:szCs w:val="21"/>
              </w:rPr>
              <w:t>未提供不得分。</w:t>
            </w:r>
          </w:p>
        </w:tc>
      </w:tr>
      <w:tr w14:paraId="7AF4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315B9B33">
            <w:pPr>
              <w:rPr>
                <w:szCs w:val="21"/>
              </w:rPr>
            </w:pPr>
            <w:r>
              <w:rPr>
                <w:rFonts w:hint="eastAsia"/>
                <w:szCs w:val="21"/>
              </w:rPr>
              <w:t>2</w:t>
            </w:r>
          </w:p>
        </w:tc>
        <w:tc>
          <w:tcPr>
            <w:tcW w:w="649" w:type="pct"/>
          </w:tcPr>
          <w:p w14:paraId="225DBDB5">
            <w:pPr>
              <w:widowControl/>
              <w:spacing w:line="340" w:lineRule="exact"/>
              <w:jc w:val="center"/>
              <w:rPr>
                <w:rFonts w:hint="eastAsia" w:ascii="宋体" w:hAnsi="宋体" w:cs="宋体"/>
                <w:bCs/>
                <w:color w:val="FF0000"/>
                <w:szCs w:val="24"/>
              </w:rPr>
            </w:pPr>
            <w:r>
              <w:rPr>
                <w:rFonts w:hint="eastAsia" w:ascii="宋体" w:hAnsi="宋体" w:cs="宋体"/>
                <w:bCs/>
                <w:color w:val="000000" w:themeColor="text1"/>
                <w:szCs w:val="24"/>
                <w14:textFill>
                  <w14:solidFill>
                    <w14:schemeClr w14:val="tx1"/>
                  </w14:solidFill>
                </w14:textFill>
              </w:rPr>
              <w:t>技术指标</w:t>
            </w:r>
          </w:p>
        </w:tc>
        <w:tc>
          <w:tcPr>
            <w:tcW w:w="635" w:type="pct"/>
          </w:tcPr>
          <w:p w14:paraId="4299B379">
            <w:pPr>
              <w:rPr>
                <w:szCs w:val="21"/>
              </w:rPr>
            </w:pPr>
            <w:r>
              <w:rPr>
                <w:szCs w:val="21"/>
              </w:rPr>
              <w:t>10</w:t>
            </w:r>
          </w:p>
        </w:tc>
        <w:tc>
          <w:tcPr>
            <w:tcW w:w="3155" w:type="pct"/>
          </w:tcPr>
          <w:p w14:paraId="2CCA63F4">
            <w:pPr>
              <w:tabs>
                <w:tab w:val="left" w:pos="720"/>
              </w:tabs>
              <w:spacing w:line="340" w:lineRule="exact"/>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一）投标单位或所投产品生产厂家获得有效期内的:①环保部门颁发的中国环境标志认证证书(十环)、②中国环保产品认证证书(CQC)、③家具产品环保卫士认证证书、④中国绿色产品认证证书。（投标文件中须提供有效期内证书复印件，并提供国家认证认可监督管理委员会官网查询截图，否则不得分）每一项得0.5分，最高2分。</w:t>
            </w:r>
          </w:p>
          <w:p w14:paraId="18D592FC">
            <w:pPr>
              <w:tabs>
                <w:tab w:val="left" w:pos="720"/>
              </w:tabs>
              <w:spacing w:line="340" w:lineRule="exact"/>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二）投标单位或所投产品生产厂家获得有害物质限量认证证书（须含①木制类:桌台类、椅凳类、柜架类；②金属类:桌台类、椅凳类、柜类）的每一项得1分，最高2分，没有不得分。（投标文件中须提供有效期内证书复印件，）。</w:t>
            </w:r>
          </w:p>
          <w:p w14:paraId="07F215EF">
            <w:pPr>
              <w:tabs>
                <w:tab w:val="left" w:pos="720"/>
              </w:tabs>
              <w:spacing w:line="340" w:lineRule="exact"/>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（三）投标单位或所投产品生产厂家提供具有国家认可的第三方检测机构出具的检测(检验)报告， 且检测报告结果为合格，每提供一项原材料检测(检验)报告的得</w:t>
            </w:r>
            <w:r>
              <w:rPr>
                <w:rFonts w:ascii="宋体" w:hAnsi="宋体" w:cs="宋体"/>
                <w:color w:val="000000" w:themeColor="text1"/>
                <w:kern w:val="0"/>
                <w:szCs w:val="24"/>
                <w14:textFill>
                  <w14:solidFill>
                    <w14:schemeClr w14:val="tx1"/>
                  </w14:solidFill>
                </w14:textFill>
              </w:rPr>
              <w:t>1</w:t>
            </w:r>
            <w:r>
              <w:rPr>
                <w:rFonts w:hint="eastAsia" w:ascii="宋体" w:hAnsi="宋体" w:cs="宋体"/>
                <w:color w:val="000000" w:themeColor="text1"/>
                <w:kern w:val="0"/>
                <w:szCs w:val="24"/>
                <w14:textFill>
                  <w14:solidFill>
                    <w14:schemeClr w14:val="tx1"/>
                  </w14:solidFill>
                </w14:textFill>
              </w:rPr>
              <w:t>分，共</w:t>
            </w:r>
            <w:r>
              <w:rPr>
                <w:rFonts w:ascii="宋体" w:hAnsi="宋体" w:cs="宋体"/>
                <w:color w:val="000000" w:themeColor="text1"/>
                <w:kern w:val="0"/>
                <w:szCs w:val="24"/>
                <w14:textFill>
                  <w14:solidFill>
                    <w14:schemeClr w14:val="tx1"/>
                  </w14:solidFill>
                </w14:textFill>
              </w:rPr>
              <w:t>4</w:t>
            </w:r>
            <w:r>
              <w:rPr>
                <w:rFonts w:hint="eastAsia" w:ascii="宋体" w:hAnsi="宋体" w:cs="宋体"/>
                <w:color w:val="000000" w:themeColor="text1"/>
                <w:kern w:val="0"/>
                <w:szCs w:val="24"/>
                <w14:textFill>
                  <w14:solidFill>
                    <w14:schemeClr w14:val="tx1"/>
                  </w14:solidFill>
                </w14:textFill>
              </w:rPr>
              <w:t>分，每提供一项成品检测(检验)报告的得</w:t>
            </w:r>
            <w:r>
              <w:rPr>
                <w:rFonts w:ascii="宋体" w:hAnsi="宋体" w:cs="宋体"/>
                <w:color w:val="000000" w:themeColor="text1"/>
                <w:kern w:val="0"/>
                <w:szCs w:val="24"/>
                <w14:textFill>
                  <w14:solidFill>
                    <w14:schemeClr w14:val="tx1"/>
                  </w14:solidFill>
                </w14:textFill>
              </w:rPr>
              <w:t>1</w:t>
            </w:r>
            <w:r>
              <w:rPr>
                <w:rFonts w:hint="eastAsia" w:ascii="宋体" w:hAnsi="宋体" w:cs="宋体"/>
                <w:color w:val="000000" w:themeColor="text1"/>
                <w:kern w:val="0"/>
                <w:szCs w:val="24"/>
                <w14:textFill>
                  <w14:solidFill>
                    <w14:schemeClr w14:val="tx1"/>
                  </w14:solidFill>
                </w14:textFill>
              </w:rPr>
              <w:t>分，共</w:t>
            </w:r>
            <w:r>
              <w:rPr>
                <w:rFonts w:ascii="宋体" w:hAnsi="宋体" w:cs="宋体"/>
                <w:color w:val="000000" w:themeColor="text1"/>
                <w:kern w:val="0"/>
                <w:szCs w:val="24"/>
                <w14:textFill>
                  <w14:solidFill>
                    <w14:schemeClr w14:val="tx1"/>
                  </w14:solidFill>
                </w14:textFill>
              </w:rPr>
              <w:t>2</w:t>
            </w:r>
            <w:r>
              <w:rPr>
                <w:rFonts w:hint="eastAsia" w:ascii="宋体" w:hAnsi="宋体" w:cs="宋体"/>
                <w:color w:val="000000" w:themeColor="text1"/>
                <w:kern w:val="0"/>
                <w:szCs w:val="24"/>
                <w14:textFill>
                  <w14:solidFill>
                    <w14:schemeClr w14:val="tx1"/>
                  </w14:solidFill>
                </w14:textFill>
              </w:rPr>
              <w:t>分，本项最高</w:t>
            </w:r>
            <w:r>
              <w:rPr>
                <w:rFonts w:ascii="宋体" w:hAnsi="宋体" w:cs="宋体"/>
                <w:color w:val="000000" w:themeColor="text1"/>
                <w:kern w:val="0"/>
                <w:szCs w:val="24"/>
                <w14:textFill>
                  <w14:solidFill>
                    <w14:schemeClr w14:val="tx1"/>
                  </w14:solidFill>
                </w14:textFill>
              </w:rPr>
              <w:t>6</w:t>
            </w:r>
            <w:r>
              <w:rPr>
                <w:rFonts w:hint="eastAsia" w:ascii="宋体" w:hAnsi="宋体" w:cs="宋体"/>
                <w:color w:val="000000" w:themeColor="text1"/>
                <w:kern w:val="0"/>
                <w:szCs w:val="24"/>
                <w14:textFill>
                  <w14:solidFill>
                    <w14:schemeClr w14:val="tx1"/>
                  </w14:solidFill>
                </w14:textFill>
              </w:rPr>
              <w:t>分（包括：1、原材料：①网布、 ②刨花板、③海绵、④座椅底架，2、成品：①办公桌、②大班椅），检测（检验）报告检测项要求如下，相关检测报告中必须包含以下数据，否则不得分：</w:t>
            </w:r>
          </w:p>
          <w:p w14:paraId="32517C69">
            <w:pPr>
              <w:tabs>
                <w:tab w:val="left" w:pos="720"/>
              </w:tabs>
              <w:spacing w:line="340" w:lineRule="exact"/>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1、原材料：</w:t>
            </w:r>
          </w:p>
          <w:p w14:paraId="7B1E90D2">
            <w:pPr>
              <w:tabs>
                <w:tab w:val="left" w:pos="720"/>
              </w:tabs>
              <w:spacing w:line="340" w:lineRule="exact"/>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(1)网布，检测内容包括：甲醛含量≤75、PH值4.0~8.5、染色牢度-耐水性≥3、耐酸汗渍色牢度≥3、耐碱汗渍色牢度≥3、耐干摩擦色牢度≥3、可分解致癌芳香胺染料未检出。</w:t>
            </w:r>
          </w:p>
          <w:p w14:paraId="5EA6CFD5">
            <w:pPr>
              <w:tabs>
                <w:tab w:val="left" w:pos="720"/>
              </w:tabs>
              <w:spacing w:line="340" w:lineRule="exact"/>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(2)刨花板，检测内容包括：甲醛释放量(≤0.12mg/m³),，品质属性挥发性有机化合物 (72h) 未检出，抗菌性能不小于99%。</w:t>
            </w:r>
          </w:p>
          <w:p w14:paraId="0BC666F6">
            <w:pPr>
              <w:tabs>
                <w:tab w:val="left" w:pos="720"/>
              </w:tabs>
              <w:spacing w:line="340" w:lineRule="exact"/>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(3)海绵，检测内容包括：GB/T 10802-2006、QB/T 2280-2016、HJ 2547-2016、GB 17927.2-2011标准， TVOC实测值未检出。</w:t>
            </w:r>
          </w:p>
          <w:p w14:paraId="279E89C6">
            <w:pPr>
              <w:rPr>
                <w:color w:val="000000" w:themeColor="text1"/>
                <w:szCs w:val="2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(4)座椅底架，检测内容包括：GB/T 3325-2017标准，人造气氛腐蚀试验(盐雾试验)120h。试验后按GB/T6461-2002进行评级:保护评级(Rp)不低于8级;外观评级(RA)不低于8级。电镀层表面无剥落、返锈、毛刺检测均为合格</w:t>
            </w:r>
          </w:p>
          <w:p w14:paraId="3B362658">
            <w:pPr>
              <w:tabs>
                <w:tab w:val="left" w:pos="720"/>
              </w:tabs>
              <w:spacing w:line="340" w:lineRule="exact"/>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2、成品：</w:t>
            </w:r>
          </w:p>
          <w:p w14:paraId="2769DC88">
            <w:pPr>
              <w:tabs>
                <w:tab w:val="left" w:pos="720"/>
              </w:tabs>
              <w:spacing w:line="340" w:lineRule="exact"/>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办公桌，检测内容须包含:1.桌类主要尺寸;2.产品外形尺寸偏差;3.标识与实物一致性;4.人造板件外观;5.木工要求;6.漆膜外观要求;7.桌类强度和耐久性(垂直静载荷试验、水平静载荷试验、桌面垂直冲击试验、桌腿跌落试验);8.结构安全性;9.漆膜耐液性、耐湿热、耐干热、附着力、耐冷热温差、耐磨性、抗冲击;10.产品寿命(桌面水平耐久性);11.品质属性产品有害物质:甲醛释放量、苯、甲苯、二甲苯、总挥发性有机化合物TVOC未检出;12.家具涂层可迁移元素:铅、镉、铬、汞、锑、钡、硒、砷需均未检出。</w:t>
            </w:r>
          </w:p>
          <w:p w14:paraId="6235CE40">
            <w:pPr>
              <w:tabs>
                <w:tab w:val="left" w:pos="720"/>
              </w:tabs>
              <w:spacing w:line="340" w:lineRule="exact"/>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大班椅，检测内容须包括：1.主要尺寸；2.形状和位置公差；3.塑料件外观；4.木制件外观；5.金属件外观；6.纺织面料理化性能；7.甲醛释放量；8.稳定性；9.脚轮往返磨损；10.座面静载荷，耐久性；11.跌落试验，以上检测结果均符合要求。</w:t>
            </w:r>
          </w:p>
          <w:p w14:paraId="01439BDB">
            <w:pPr>
              <w:rPr>
                <w:color w:val="000000" w:themeColor="text1"/>
                <w:szCs w:val="2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注：上述项须提供由国家认可的第三方检测机构出具的检测（检验）报告，且检测依据按照现行有效的标准，检测（检验）报告结果为合格，对应上述项原材料和产品名称的检测（检验）报告的技术要求须符合以上所有要求。提供的检测报告须完整、清晰，复印局部内容及复印缩放均为无效。材料未提供或提供不全或无法认定的，对应评分项不得分。）</w:t>
            </w:r>
          </w:p>
        </w:tc>
      </w:tr>
      <w:tr w14:paraId="08AE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1654BD72">
            <w:pPr>
              <w:rPr>
                <w:szCs w:val="21"/>
              </w:rPr>
            </w:pPr>
            <w:r>
              <w:rPr>
                <w:rFonts w:hint="eastAsia"/>
                <w:szCs w:val="21"/>
              </w:rPr>
              <w:t>3</w:t>
            </w:r>
          </w:p>
        </w:tc>
        <w:tc>
          <w:tcPr>
            <w:tcW w:w="649" w:type="pct"/>
          </w:tcPr>
          <w:p w14:paraId="4BF47BC8">
            <w:pPr>
              <w:jc w:val="center"/>
              <w:rPr>
                <w:szCs w:val="21"/>
              </w:rPr>
            </w:pPr>
            <w:r>
              <w:rPr>
                <w:rFonts w:hint="eastAsia"/>
                <w:szCs w:val="21"/>
              </w:rPr>
              <w:t>售后服务</w:t>
            </w:r>
          </w:p>
        </w:tc>
        <w:tc>
          <w:tcPr>
            <w:tcW w:w="635" w:type="pct"/>
          </w:tcPr>
          <w:p w14:paraId="5FC81AAD">
            <w:pPr>
              <w:rPr>
                <w:szCs w:val="21"/>
              </w:rPr>
            </w:pPr>
            <w:r>
              <w:rPr>
                <w:rFonts w:hint="eastAsia"/>
                <w:szCs w:val="21"/>
              </w:rPr>
              <w:t>1</w:t>
            </w:r>
            <w:r>
              <w:rPr>
                <w:szCs w:val="21"/>
              </w:rPr>
              <w:t>0</w:t>
            </w:r>
          </w:p>
        </w:tc>
        <w:tc>
          <w:tcPr>
            <w:tcW w:w="3155" w:type="pct"/>
          </w:tcPr>
          <w:p w14:paraId="735FE11E">
            <w:pPr>
              <w:rPr>
                <w:szCs w:val="21"/>
              </w:rPr>
            </w:pPr>
            <w:r>
              <w:rPr>
                <w:rFonts w:hint="eastAsia"/>
                <w:szCs w:val="21"/>
              </w:rPr>
              <w:t>考察售后服务方案</w:t>
            </w:r>
            <w:r>
              <w:rPr>
                <w:szCs w:val="21"/>
              </w:rPr>
              <w:t>,包括人员操作培训、维保计划、维修响</w:t>
            </w:r>
            <w:r>
              <w:rPr>
                <w:rFonts w:hint="eastAsia"/>
                <w:szCs w:val="21"/>
              </w:rPr>
              <w:t>应、是否有固定的经营和服务场所及服务车辆等的内容是否完整、方案是否科学、可行、经济、及时等</w:t>
            </w:r>
            <w:r>
              <w:rPr>
                <w:szCs w:val="21"/>
              </w:rPr>
              <w:t>:</w:t>
            </w:r>
          </w:p>
          <w:p w14:paraId="462C3478">
            <w:pPr>
              <w:rPr>
                <w:szCs w:val="21"/>
              </w:rPr>
            </w:pPr>
            <w:r>
              <w:rPr>
                <w:szCs w:val="21"/>
              </w:rPr>
              <w:t>免费质保计划周密完整、服务响应最迅捷,得8分;</w:t>
            </w:r>
          </w:p>
          <w:p w14:paraId="28E5AB93">
            <w:pPr>
              <w:rPr>
                <w:szCs w:val="21"/>
              </w:rPr>
            </w:pPr>
            <w:r>
              <w:rPr>
                <w:rFonts w:hint="eastAsia"/>
                <w:szCs w:val="21"/>
              </w:rPr>
              <w:t>免费质保计划完整、服务响应较快</w:t>
            </w:r>
            <w:r>
              <w:rPr>
                <w:szCs w:val="21"/>
              </w:rPr>
              <w:t>,得6分;</w:t>
            </w:r>
          </w:p>
          <w:p w14:paraId="0DF3E0ED">
            <w:pPr>
              <w:rPr>
                <w:szCs w:val="21"/>
              </w:rPr>
            </w:pPr>
            <w:r>
              <w:rPr>
                <w:rFonts w:hint="eastAsia"/>
                <w:szCs w:val="21"/>
              </w:rPr>
              <w:t>免费质保计划有瑕疵、服务响应缓慢</w:t>
            </w:r>
            <w:r>
              <w:rPr>
                <w:szCs w:val="21"/>
              </w:rPr>
              <w:t>,得4分;</w:t>
            </w:r>
          </w:p>
          <w:p w14:paraId="7D3D786D">
            <w:pPr>
              <w:rPr>
                <w:szCs w:val="21"/>
              </w:rPr>
            </w:pPr>
            <w:r>
              <w:rPr>
                <w:rFonts w:hint="eastAsia"/>
                <w:szCs w:val="21"/>
              </w:rPr>
              <w:t>另外</w:t>
            </w:r>
            <w:r>
              <w:rPr>
                <w:szCs w:val="21"/>
              </w:rPr>
              <w:t>,投标人承诺的免费质保期如高于招标要求以上,</w:t>
            </w:r>
            <w:r>
              <w:rPr>
                <w:rFonts w:hint="eastAsia"/>
                <w:szCs w:val="21"/>
              </w:rPr>
              <w:t>可加</w:t>
            </w:r>
            <w:r>
              <w:rPr>
                <w:szCs w:val="21"/>
              </w:rPr>
              <w:t>2分。不满足不得分。</w:t>
            </w:r>
          </w:p>
        </w:tc>
      </w:tr>
      <w:tr w14:paraId="1C50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34DBC233">
            <w:pPr>
              <w:rPr>
                <w:szCs w:val="21"/>
              </w:rPr>
            </w:pPr>
            <w:r>
              <w:rPr>
                <w:rFonts w:hint="eastAsia"/>
                <w:szCs w:val="21"/>
              </w:rPr>
              <w:t>4</w:t>
            </w:r>
          </w:p>
        </w:tc>
        <w:tc>
          <w:tcPr>
            <w:tcW w:w="649" w:type="pct"/>
            <w:vMerge w:val="restart"/>
          </w:tcPr>
          <w:p w14:paraId="6DB5EEEC">
            <w:pPr>
              <w:jc w:val="center"/>
              <w:rPr>
                <w:szCs w:val="21"/>
              </w:rPr>
            </w:pPr>
            <w:r>
              <w:rPr>
                <w:rFonts w:hint="eastAsia"/>
                <w:szCs w:val="21"/>
              </w:rPr>
              <w:t>履约能力</w:t>
            </w:r>
          </w:p>
        </w:tc>
        <w:tc>
          <w:tcPr>
            <w:tcW w:w="635" w:type="pct"/>
          </w:tcPr>
          <w:p w14:paraId="114B2E74">
            <w:pPr>
              <w:rPr>
                <w:szCs w:val="21"/>
              </w:rPr>
            </w:pPr>
            <w:r>
              <w:rPr>
                <w:rFonts w:hint="eastAsia"/>
                <w:szCs w:val="21"/>
              </w:rPr>
              <w:t>1</w:t>
            </w:r>
            <w:r>
              <w:rPr>
                <w:szCs w:val="21"/>
              </w:rPr>
              <w:t>0</w:t>
            </w:r>
          </w:p>
        </w:tc>
        <w:tc>
          <w:tcPr>
            <w:tcW w:w="3155" w:type="pct"/>
          </w:tcPr>
          <w:p w14:paraId="779BD01D">
            <w:pPr>
              <w:rPr>
                <w:szCs w:val="21"/>
              </w:rPr>
            </w:pPr>
            <w:r>
              <w:rPr>
                <w:rFonts w:hint="eastAsia"/>
                <w:szCs w:val="21"/>
              </w:rPr>
              <w:t>报价人提供</w:t>
            </w:r>
            <w:r>
              <w:rPr>
                <w:szCs w:val="21"/>
              </w:rPr>
              <w:t>20</w:t>
            </w:r>
            <w:r>
              <w:rPr>
                <w:rFonts w:hint="eastAsia"/>
                <w:szCs w:val="21"/>
              </w:rPr>
              <w:t>22</w:t>
            </w:r>
            <w:r>
              <w:rPr>
                <w:szCs w:val="21"/>
              </w:rPr>
              <w:t>年</w:t>
            </w:r>
            <w:r>
              <w:rPr>
                <w:rFonts w:hint="eastAsia"/>
                <w:szCs w:val="21"/>
              </w:rPr>
              <w:t>6</w:t>
            </w:r>
            <w:r>
              <w:rPr>
                <w:szCs w:val="21"/>
              </w:rPr>
              <w:t>月</w:t>
            </w:r>
            <w:r>
              <w:rPr>
                <w:rFonts w:hint="eastAsia"/>
                <w:szCs w:val="21"/>
              </w:rPr>
              <w:t>26</w:t>
            </w:r>
            <w:r>
              <w:rPr>
                <w:szCs w:val="21"/>
              </w:rPr>
              <w:t>日以来完成的类似项目业绩合同,每提供一份合同得:2分,最多得:10分。(提供合同首页、</w:t>
            </w:r>
            <w:r>
              <w:rPr>
                <w:rFonts w:hint="eastAsia"/>
                <w:szCs w:val="21"/>
              </w:rPr>
              <w:t>合同产品内容页、双方签字盖章页的复印件并加盖公章方为有效</w:t>
            </w:r>
            <w:r>
              <w:rPr>
                <w:szCs w:val="21"/>
              </w:rPr>
              <w:t>,否则无效、提供无关业绩也视为无效)。</w:t>
            </w:r>
          </w:p>
        </w:tc>
      </w:tr>
      <w:tr w14:paraId="60A7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59" w:type="pct"/>
          </w:tcPr>
          <w:p w14:paraId="536C4A2D">
            <w:pPr>
              <w:rPr>
                <w:szCs w:val="21"/>
              </w:rPr>
            </w:pPr>
            <w:r>
              <w:rPr>
                <w:rFonts w:hint="eastAsia"/>
                <w:szCs w:val="21"/>
              </w:rPr>
              <w:t>5</w:t>
            </w:r>
          </w:p>
        </w:tc>
        <w:tc>
          <w:tcPr>
            <w:tcW w:w="649" w:type="pct"/>
            <w:vMerge w:val="continue"/>
          </w:tcPr>
          <w:p w14:paraId="7C666FEB">
            <w:pPr>
              <w:rPr>
                <w:szCs w:val="21"/>
              </w:rPr>
            </w:pPr>
          </w:p>
        </w:tc>
        <w:tc>
          <w:tcPr>
            <w:tcW w:w="635" w:type="pct"/>
          </w:tcPr>
          <w:p w14:paraId="55A5A19E">
            <w:pPr>
              <w:rPr>
                <w:szCs w:val="21"/>
              </w:rPr>
            </w:pPr>
            <w:r>
              <w:rPr>
                <w:rFonts w:hint="eastAsia"/>
                <w:szCs w:val="21"/>
              </w:rPr>
              <w:t>1</w:t>
            </w:r>
            <w:r>
              <w:rPr>
                <w:szCs w:val="21"/>
              </w:rPr>
              <w:t>0</w:t>
            </w:r>
          </w:p>
        </w:tc>
        <w:tc>
          <w:tcPr>
            <w:tcW w:w="3155" w:type="pct"/>
          </w:tcPr>
          <w:p w14:paraId="618148F4">
            <w:pPr>
              <w:rPr>
                <w:rFonts w:hint="eastAsia" w:eastAsia="宋体"/>
                <w:sz w:val="24"/>
                <w:szCs w:val="24"/>
                <w:lang w:eastAsia="zh-CN"/>
              </w:rPr>
            </w:pPr>
            <w:r>
              <w:t>持有与</w:t>
            </w:r>
            <w:r>
              <w:rPr>
                <w:rFonts w:hint="eastAsia"/>
              </w:rPr>
              <w:t>家具环保</w:t>
            </w:r>
            <w:r>
              <w:t>相关的官方认证（</w:t>
            </w:r>
            <w:r>
              <w:rPr>
                <w:rFonts w:hint="eastAsia"/>
              </w:rPr>
              <w:t>如</w:t>
            </w:r>
            <w:r>
              <w:rPr>
                <w:rStyle w:val="12"/>
                <w:rFonts w:ascii="宋体" w:hAnsi="宋体" w:cs="宋体"/>
                <w:b w:val="0"/>
                <w:color w:val="000000"/>
                <w:szCs w:val="21"/>
              </w:rPr>
              <w:t>CMA/CNAS 认证</w:t>
            </w:r>
            <w:r>
              <w:t xml:space="preserve">）或政府主管部门颁发的荣誉（如 “重合同守信用企业”），每提供 1 项有效证书得 2 分，满分 </w:t>
            </w:r>
            <w:r>
              <w:rPr>
                <w:rFonts w:hint="eastAsia"/>
              </w:rPr>
              <w:t>10</w:t>
            </w:r>
            <w:r>
              <w:t>分；同一类型证书不重复计分</w:t>
            </w:r>
            <w:r>
              <w:rPr>
                <w:rFonts w:hint="eastAsia"/>
                <w:lang w:eastAsia="zh-CN"/>
              </w:rPr>
              <w:t>。</w:t>
            </w:r>
          </w:p>
          <w:p w14:paraId="00E086D5">
            <w:pPr>
              <w:rPr>
                <w:szCs w:val="21"/>
              </w:rPr>
            </w:pPr>
            <w:r>
              <w:rPr>
                <w:rFonts w:hint="eastAsia"/>
                <w:szCs w:val="21"/>
              </w:rPr>
              <w:t>以上文件均须与本项目性质有关</w:t>
            </w:r>
            <w:r>
              <w:rPr>
                <w:szCs w:val="21"/>
              </w:rPr>
              <w:t>,并提供盖章复印件证明,</w:t>
            </w:r>
            <w:r>
              <w:rPr>
                <w:rFonts w:hint="eastAsia"/>
                <w:szCs w:val="21"/>
              </w:rPr>
              <w:t>否则无效。</w:t>
            </w:r>
          </w:p>
        </w:tc>
      </w:tr>
    </w:tbl>
    <w:p w14:paraId="7A6644E8">
      <w:pPr>
        <w:pStyle w:val="4"/>
        <w:spacing w:line="440" w:lineRule="exact"/>
        <w:jc w:val="left"/>
        <w:rPr>
          <w:color w:val="000000"/>
        </w:rPr>
      </w:pPr>
    </w:p>
    <w:p w14:paraId="1A8DB523">
      <w:pPr>
        <w:pStyle w:val="4"/>
        <w:spacing w:line="440" w:lineRule="exact"/>
        <w:jc w:val="left"/>
        <w:rPr>
          <w:color w:val="000000"/>
        </w:rPr>
      </w:pPr>
      <w:r>
        <w:rPr>
          <w:rFonts w:hint="eastAsia"/>
          <w:color w:val="000000"/>
        </w:rPr>
        <w:t>2.3商务分（</w:t>
      </w:r>
      <w:r>
        <w:rPr>
          <w:rFonts w:hint="eastAsia"/>
          <w:b/>
          <w:bCs/>
          <w:color w:val="000000"/>
          <w:szCs w:val="24"/>
        </w:rPr>
        <w:t>30</w:t>
      </w:r>
      <w:r>
        <w:rPr>
          <w:rFonts w:hint="eastAsia"/>
          <w:color w:val="000000"/>
        </w:rPr>
        <w:t xml:space="preserve"> 分）</w:t>
      </w:r>
    </w:p>
    <w:p w14:paraId="278B8AE9">
      <w:pPr>
        <w:rPr>
          <w:sz w:val="24"/>
          <w:szCs w:val="24"/>
        </w:rPr>
      </w:pPr>
      <w:r>
        <w:rPr>
          <w:rFonts w:hint="eastAsia" w:ascii="宋体"/>
          <w:color w:val="000000"/>
          <w:sz w:val="24"/>
        </w:rPr>
        <w:t>评分基准价：即满足需求文件要求且比选价格最低的比选报价为评标基准价，其价格分为满分。其他价格</w:t>
      </w:r>
      <w:r>
        <w:rPr>
          <w:rFonts w:hint="eastAsia"/>
          <w:sz w:val="24"/>
          <w:szCs w:val="24"/>
        </w:rPr>
        <w:t>每上浮3000元扣1分。</w:t>
      </w:r>
    </w:p>
    <w:p w14:paraId="3E2FA7D4">
      <w:pPr>
        <w:rPr>
          <w:sz w:val="24"/>
          <w:szCs w:val="24"/>
        </w:rPr>
      </w:pPr>
    </w:p>
    <w:p w14:paraId="584A5069">
      <w:pPr>
        <w:rPr>
          <w:sz w:val="24"/>
          <w:szCs w:val="24"/>
        </w:rPr>
      </w:pPr>
      <w:bookmarkStart w:id="1" w:name="_GoBack"/>
    </w:p>
    <w:bookmarkEnd w:id="1"/>
    <w:sectPr>
      <w:footerReference r:id="rId3" w:type="default"/>
      <w:pgSz w:w="11906" w:h="16838"/>
      <w:pgMar w:top="1361" w:right="1361" w:bottom="1361" w:left="1361"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8EEA33D">
        <w:pPr>
          <w:pStyle w:val="6"/>
          <w:jc w:val="center"/>
        </w:pPr>
        <w:r>
          <w:rPr>
            <w:lang w:val="zh-CN"/>
          </w:rPr>
          <w:fldChar w:fldCharType="begin"/>
        </w:r>
        <w:r>
          <w:rPr>
            <w:lang w:val="zh-CN"/>
          </w:rPr>
          <w:instrText xml:space="preserve">PAGE   \* MERGEFORMAT</w:instrText>
        </w:r>
        <w:r>
          <w:rPr>
            <w:lang w:val="zh-CN"/>
          </w:rPr>
          <w:fldChar w:fldCharType="separate"/>
        </w:r>
        <w:r>
          <w:rPr>
            <w:lang w:val="zh-CN"/>
          </w:rPr>
          <w:t>5</w:t>
        </w:r>
        <w:r>
          <w:rPr>
            <w:lang w:val="zh-CN"/>
          </w:rPr>
          <w:fldChar w:fldCharType="end"/>
        </w:r>
      </w:p>
    </w:sdtContent>
  </w:sdt>
  <w:p w14:paraId="45F9024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34B22"/>
    <w:multiLevelType w:val="multilevel"/>
    <w:tmpl w:val="11534B22"/>
    <w:lvl w:ilvl="0" w:tentative="0">
      <w:start w:val="1"/>
      <w:numFmt w:val="decimal"/>
      <w:lvlText w:val="（%1）"/>
      <w:lvlJc w:val="left"/>
      <w:pPr>
        <w:ind w:left="523" w:hanging="420"/>
      </w:pPr>
      <w:rPr>
        <w:rFonts w:hint="eastAsia"/>
        <w:b w:val="0"/>
        <w:i w:val="0"/>
      </w:rPr>
    </w:lvl>
    <w:lvl w:ilvl="1" w:tentative="0">
      <w:start w:val="1"/>
      <w:numFmt w:val="lowerLetter"/>
      <w:lvlText w:val="%2)"/>
      <w:lvlJc w:val="left"/>
      <w:pPr>
        <w:ind w:left="943" w:hanging="420"/>
      </w:pPr>
    </w:lvl>
    <w:lvl w:ilvl="2" w:tentative="0">
      <w:start w:val="1"/>
      <w:numFmt w:val="lowerRoman"/>
      <w:lvlText w:val="%3."/>
      <w:lvlJc w:val="right"/>
      <w:pPr>
        <w:ind w:left="1363" w:hanging="420"/>
      </w:pPr>
    </w:lvl>
    <w:lvl w:ilvl="3" w:tentative="0">
      <w:start w:val="1"/>
      <w:numFmt w:val="decimal"/>
      <w:lvlText w:val="%4."/>
      <w:lvlJc w:val="left"/>
      <w:pPr>
        <w:ind w:left="1783" w:hanging="420"/>
      </w:pPr>
    </w:lvl>
    <w:lvl w:ilvl="4" w:tentative="0">
      <w:start w:val="1"/>
      <w:numFmt w:val="lowerLetter"/>
      <w:lvlText w:val="%5)"/>
      <w:lvlJc w:val="left"/>
      <w:pPr>
        <w:ind w:left="2203" w:hanging="420"/>
      </w:pPr>
    </w:lvl>
    <w:lvl w:ilvl="5" w:tentative="0">
      <w:start w:val="1"/>
      <w:numFmt w:val="lowerRoman"/>
      <w:lvlText w:val="%6."/>
      <w:lvlJc w:val="right"/>
      <w:pPr>
        <w:ind w:left="2623" w:hanging="420"/>
      </w:pPr>
    </w:lvl>
    <w:lvl w:ilvl="6" w:tentative="0">
      <w:start w:val="1"/>
      <w:numFmt w:val="decimal"/>
      <w:lvlText w:val="%7."/>
      <w:lvlJc w:val="left"/>
      <w:pPr>
        <w:ind w:left="3043" w:hanging="420"/>
      </w:pPr>
    </w:lvl>
    <w:lvl w:ilvl="7" w:tentative="0">
      <w:start w:val="1"/>
      <w:numFmt w:val="lowerLetter"/>
      <w:lvlText w:val="%8)"/>
      <w:lvlJc w:val="left"/>
      <w:pPr>
        <w:ind w:left="3463" w:hanging="420"/>
      </w:pPr>
    </w:lvl>
    <w:lvl w:ilvl="8" w:tentative="0">
      <w:start w:val="1"/>
      <w:numFmt w:val="lowerRoman"/>
      <w:lvlText w:val="%9."/>
      <w:lvlJc w:val="right"/>
      <w:pPr>
        <w:ind w:left="3883" w:hanging="420"/>
      </w:pPr>
    </w:lvl>
  </w:abstractNum>
  <w:abstractNum w:abstractNumId="1">
    <w:nsid w:val="386B2DC6"/>
    <w:multiLevelType w:val="multilevel"/>
    <w:tmpl w:val="386B2DC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7C732B"/>
    <w:multiLevelType w:val="multilevel"/>
    <w:tmpl w:val="537C732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5AFB80"/>
    <w:multiLevelType w:val="singleLevel"/>
    <w:tmpl w:val="555AFB80"/>
    <w:lvl w:ilvl="0" w:tentative="0">
      <w:start w:val="2"/>
      <w:numFmt w:val="decimal"/>
      <w:suff w:val="nothing"/>
      <w:lvlText w:val="%1、"/>
      <w:lvlJc w:val="left"/>
      <w:pPr>
        <w:tabs>
          <w:tab w:val="left" w:pos="0"/>
        </w:tabs>
        <w:ind w:left="0" w:firstLine="0"/>
      </w:pPr>
    </w:lvl>
  </w:abstractNum>
  <w:abstractNum w:abstractNumId="4">
    <w:nsid w:val="58EF03BC"/>
    <w:multiLevelType w:val="multilevel"/>
    <w:tmpl w:val="58EF03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B8D2543"/>
    <w:multiLevelType w:val="multilevel"/>
    <w:tmpl w:val="7B8D254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B614B"/>
    <w:rsid w:val="00082448"/>
    <w:rsid w:val="000B7FD2"/>
    <w:rsid w:val="007F032C"/>
    <w:rsid w:val="00A66F80"/>
    <w:rsid w:val="00D82379"/>
    <w:rsid w:val="148B614B"/>
    <w:rsid w:val="14924B1B"/>
    <w:rsid w:val="2DFDAD72"/>
    <w:rsid w:val="366330E1"/>
    <w:rsid w:val="383A1FF8"/>
    <w:rsid w:val="39810D86"/>
    <w:rsid w:val="3BFB87D3"/>
    <w:rsid w:val="3D3F174E"/>
    <w:rsid w:val="3D8535E9"/>
    <w:rsid w:val="406D48B0"/>
    <w:rsid w:val="450456CC"/>
    <w:rsid w:val="48DC582B"/>
    <w:rsid w:val="4C8C2593"/>
    <w:rsid w:val="4F6C03FA"/>
    <w:rsid w:val="52A309AB"/>
    <w:rsid w:val="60C70EC5"/>
    <w:rsid w:val="6BEE3528"/>
    <w:rsid w:val="76BE285E"/>
    <w:rsid w:val="7DF0172A"/>
    <w:rsid w:val="8BF9FD9A"/>
    <w:rsid w:val="B17B61B8"/>
    <w:rsid w:val="BDE9FB3E"/>
    <w:rsid w:val="EFAF9D2B"/>
    <w:rsid w:val="EFDD76DA"/>
    <w:rsid w:val="F3FF22B8"/>
    <w:rsid w:val="FF5B9C94"/>
    <w:rsid w:val="FF5F4B87"/>
    <w:rsid w:val="FFC54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pPr>
      <w:ind w:left="141"/>
      <w:jc w:val="left"/>
    </w:pPr>
    <w:rPr>
      <w:rFonts w:ascii="宋体" w:hAnsi="宋体"/>
      <w:kern w:val="0"/>
      <w:sz w:val="24"/>
      <w:szCs w:val="24"/>
      <w:lang w:eastAsia="en-US"/>
    </w:rPr>
  </w:style>
  <w:style w:type="paragraph" w:styleId="4">
    <w:name w:val="Plain Text"/>
    <w:basedOn w:val="1"/>
    <w:qFormat/>
    <w:uiPriority w:val="0"/>
    <w:rPr>
      <w:rFonts w:ascii="宋体" w:hAnsi="Courier New"/>
      <w:szCs w:val="20"/>
    </w:rPr>
  </w:style>
  <w:style w:type="paragraph" w:styleId="5">
    <w:name w:val="Body Text Indent 2"/>
    <w:basedOn w:val="1"/>
    <w:qFormat/>
    <w:uiPriority w:val="0"/>
    <w:pPr>
      <w:spacing w:line="360" w:lineRule="auto"/>
      <w:ind w:firstLine="200" w:firstLineChars="200"/>
    </w:pPr>
    <w:rPr>
      <w:rFonts w:eastAsia="仿宋_GB2312"/>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rPr>
      <w:sz w:val="24"/>
    </w:rPr>
  </w:style>
  <w:style w:type="paragraph" w:styleId="8">
    <w:name w:val="annotation subject"/>
    <w:basedOn w:val="2"/>
    <w:next w:val="2"/>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basedOn w:val="11"/>
    <w:semiHidden/>
    <w:unhideWhenUsed/>
    <w:qFormat/>
    <w:uiPriority w:val="99"/>
    <w:rPr>
      <w:sz w:val="21"/>
      <w:szCs w:val="21"/>
    </w:rPr>
  </w:style>
  <w:style w:type="paragraph" w:styleId="14">
    <w:name w:val="List Paragraph"/>
    <w:basedOn w:val="1"/>
    <w:qFormat/>
    <w:uiPriority w:val="34"/>
    <w:pPr>
      <w:ind w:firstLine="420" w:firstLineChars="200"/>
    </w:pPr>
  </w:style>
  <w:style w:type="paragraph" w:customStyle="1" w:styleId="15">
    <w:name w:val="Table Paragraph"/>
    <w:basedOn w:val="1"/>
    <w:qFormat/>
    <w:uiPriority w:val="1"/>
    <w:pPr>
      <w:jc w:val="left"/>
    </w:pPr>
    <w:rPr>
      <w:rFonts w:eastAsia="Calibri"/>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1904</Words>
  <Characters>2145</Characters>
  <Lines>30</Lines>
  <Paragraphs>8</Paragraphs>
  <TotalTime>25</TotalTime>
  <ScaleCrop>false</ScaleCrop>
  <LinksUpToDate>false</LinksUpToDate>
  <CharactersWithSpaces>2174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2025-09-05T00:29:00Z</dcterms:created>
  <dc:creator>凯凯啊</dc:creator>
  <cp:lastModifiedBy>吴珉玥</cp:lastModifiedBy>
  <dcterms:modified xsi:type="dcterms:W3CDTF">2026-02-06T12:11:27Z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46F474B42A355ABC15528569F2E8077B_43</vt:lpwstr>
  </property>
  <property fmtid="{D5CDD505-2E9C-101B-9397-08002B2CF9AE}" pid="4" name="KSOTemplateDocerSaveRecord">
    <vt:lpwstr>eyJoZGlkIjoiZTRlODIyYTVlYzQ2ZDBkY2YyMzQwODAxOTVmNTc4YWIiLCJ1c2VySWQiOiIxNjg1MjA1NjUwIn0=</vt:lpwstr>
  </property>
</Properties>
</file>