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3441B">
      <w:pPr>
        <w:spacing w:after="0" w:line="240" w:lineRule="auto"/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>上海外国语大学</w:t>
      </w:r>
      <w:r>
        <w:rPr>
          <w:rFonts w:hint="eastAsia" w:ascii="黑体" w:hAnsi="黑体" w:eastAsia="黑体" w:cs="Times New Roman"/>
          <w:sz w:val="36"/>
          <w:szCs w:val="36"/>
          <w:lang w:val="en-US" w:eastAsia="zh-CN"/>
        </w:rPr>
        <w:t>2026年</w:t>
      </w:r>
      <w:r>
        <w:rPr>
          <w:rFonts w:hint="eastAsia" w:ascii="黑体" w:hAnsi="黑体" w:eastAsia="黑体" w:cs="Times New Roman"/>
          <w:sz w:val="36"/>
          <w:szCs w:val="36"/>
        </w:rPr>
        <w:t>松江校区水平衡测试技术服务项目</w:t>
      </w:r>
    </w:p>
    <w:p w14:paraId="77C69F2D">
      <w:pPr>
        <w:spacing w:after="0" w:line="240" w:lineRule="auto"/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>采购需求</w:t>
      </w:r>
    </w:p>
    <w:p w14:paraId="3C6F7A0B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</w:p>
    <w:p w14:paraId="1283409C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一、项目概述</w:t>
      </w:r>
    </w:p>
    <w:p w14:paraId="6D897A50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根据</w:t>
      </w:r>
      <w:r>
        <w:rPr>
          <w:rFonts w:ascii="仿宋" w:hAnsi="仿宋" w:eastAsia="仿宋" w:cs="Times New Roman"/>
          <w:sz w:val="28"/>
          <w:szCs w:val="28"/>
        </w:rPr>
        <w:t>《上海市水平衡测试管理规定(2024)》</w:t>
      </w:r>
      <w:r>
        <w:rPr>
          <w:rFonts w:hint="eastAsia" w:ascii="仿宋" w:hAnsi="仿宋" w:eastAsia="仿宋" w:cs="Times New Roman"/>
          <w:sz w:val="28"/>
          <w:szCs w:val="28"/>
        </w:rPr>
        <w:t>《上海市水资源管理若干规定》的相关要求，用水单位应每五年开展一次水平衡测试工作，现对上海外国语大学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2026年</w:t>
      </w:r>
      <w:r>
        <w:rPr>
          <w:rFonts w:hint="eastAsia" w:ascii="仿宋" w:hAnsi="仿宋" w:eastAsia="仿宋" w:cs="Times New Roman"/>
          <w:sz w:val="28"/>
          <w:szCs w:val="28"/>
        </w:rPr>
        <w:t>松江区水平衡测试技术服务进行采购。</w:t>
      </w:r>
    </w:p>
    <w:p w14:paraId="01E3345F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二、项目预算及报价要求</w:t>
      </w:r>
    </w:p>
    <w:p w14:paraId="454596D0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1.项目预算：人民币6.5万元。</w:t>
      </w:r>
    </w:p>
    <w:p w14:paraId="7DC6D17C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2.报价要求：供应商须根据比选文件附件一《上海外国语大学松江校区水平衡测试项目报价单》进行报价。所有报价须含税费等全部相关费用。</w:t>
      </w:r>
    </w:p>
    <w:p w14:paraId="1B3908BB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三、服务范围</w:t>
      </w:r>
    </w:p>
    <w:p w14:paraId="59205FC8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1.服务地点</w:t>
      </w:r>
    </w:p>
    <w:p w14:paraId="1497470A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服务地点：上海市松江区文翔路</w:t>
      </w:r>
      <w:r>
        <w:rPr>
          <w:rFonts w:ascii="仿宋" w:hAnsi="仿宋" w:eastAsia="仿宋" w:cs="Times New Roman"/>
          <w:sz w:val="28"/>
          <w:szCs w:val="28"/>
        </w:rPr>
        <w:t>1550号</w:t>
      </w:r>
      <w:r>
        <w:rPr>
          <w:rFonts w:hint="eastAsia" w:ascii="仿宋" w:hAnsi="仿宋" w:eastAsia="仿宋" w:cs="Times New Roman"/>
          <w:sz w:val="28"/>
          <w:szCs w:val="28"/>
        </w:rPr>
        <w:t>。</w:t>
      </w:r>
    </w:p>
    <w:p w14:paraId="64DB255E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2.服务对象</w:t>
      </w:r>
    </w:p>
    <w:p w14:paraId="0F6F3576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上海外国语大学有虹口与松江两个校区，本次水平衡测试范围为上海外国语大学松江校区，位于上海市松江区文翔路 1550号，用地面积为881.82亩（约合58.8万平方米），总建筑面积约28万平方米,主要建筑物为教学区的8栋教学楼、国际教育中心大楼、全球治理与区域国别研究大楼、图文信息大楼、行政楼、师生活动中心、食堂、教育会堂、体育看台学生公寓等。</w:t>
      </w:r>
    </w:p>
    <w:p w14:paraId="0602D346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四、服务内容与标准</w:t>
      </w:r>
    </w:p>
    <w:p w14:paraId="6A96EF62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1.服务内容</w:t>
      </w:r>
    </w:p>
    <w:p w14:paraId="395DC945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对上海外国语大学（松江校区）目前实际用水情况进行现场摸排和统计、分析，提出合理建议，建立完善的用水管理体系及节水制度，通过实测抄表、分析、汇总资料编制完成《水平衡测试报告》，协助通过水务管理部门的验收工作。</w:t>
      </w:r>
    </w:p>
    <w:p w14:paraId="0602EAA3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2.服务标准与要求</w:t>
      </w:r>
    </w:p>
    <w:p w14:paraId="050EB6EF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根据国家水利部及本市的最新工作要求，本次工作参照《上海市水平衡测试管理规定(2024)》、《上海市水资源管理若干规定》的要求进行测试。</w:t>
      </w:r>
    </w:p>
    <w:p w14:paraId="72A246C7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五、人员配备要求</w:t>
      </w:r>
    </w:p>
    <w:p w14:paraId="565783E4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1.基本要求：</w:t>
      </w:r>
    </w:p>
    <w:p w14:paraId="00DEDB28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（1）参与编制《水平衡测试报告》的人员须经验丰富、责任心强，有编写高校类《水平衡测试报告》的经历，且报告通过管理部门验收。</w:t>
      </w:r>
    </w:p>
    <w:p w14:paraId="69F3647E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2.团队配置要求：</w:t>
      </w:r>
    </w:p>
    <w:p w14:paraId="0BAD6A90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（1）供应商须拥有稳定的专业技术团队，持有“水平衡测试”相关的资格证书。</w:t>
      </w:r>
    </w:p>
    <w:p w14:paraId="2EEED1B3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六、考核与验收</w:t>
      </w:r>
    </w:p>
    <w:p w14:paraId="56B5BF09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1.验收方式</w:t>
      </w:r>
    </w:p>
    <w:p w14:paraId="247DACB3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（1）提交《水平衡测试报告》，协助通过管理部门验收。</w:t>
      </w:r>
    </w:p>
    <w:p w14:paraId="7CA66F33">
      <w:pPr>
        <w:snapToGrid w:val="0"/>
        <w:spacing w:after="0" w:line="360" w:lineRule="auto"/>
        <w:ind w:firstLine="562" w:firstLineChars="200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2.考核内容</w:t>
      </w:r>
    </w:p>
    <w:p w14:paraId="08BBFD96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（1）考核内容包括但不限于：服务响应时间是否符合要求；报告内容质量否规范完整；用户满意度。</w:t>
      </w:r>
    </w:p>
    <w:p w14:paraId="0A3DFB36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（2）考核不合格的，采购人有权单方解除合同。</w:t>
      </w:r>
    </w:p>
    <w:p w14:paraId="60C3F9DF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sz w:val="28"/>
          <w:szCs w:val="28"/>
        </w:rPr>
      </w:pPr>
      <w:r>
        <w:rPr>
          <w:rFonts w:ascii="仿宋" w:hAnsi="仿宋" w:eastAsia="仿宋" w:cs="Times New Roman"/>
          <w:b/>
          <w:sz w:val="28"/>
          <w:szCs w:val="28"/>
        </w:rPr>
        <w:t>七、付款方式</w:t>
      </w:r>
    </w:p>
    <w:p w14:paraId="7880DC2E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本项目自合同签订日起</w:t>
      </w:r>
      <w:r>
        <w:rPr>
          <w:rFonts w:hint="eastAsia" w:ascii="仿宋" w:hAnsi="仿宋" w:eastAsia="仿宋" w:cs="Times New Roman"/>
          <w:sz w:val="28"/>
          <w:szCs w:val="28"/>
        </w:rPr>
        <w:t>1</w:t>
      </w:r>
      <w:r>
        <w:rPr>
          <w:rFonts w:ascii="仿宋" w:hAnsi="仿宋" w:eastAsia="仿宋" w:cs="Times New Roman"/>
          <w:sz w:val="28"/>
          <w:szCs w:val="28"/>
        </w:rPr>
        <w:t>5个工作日，支付本项目的合同约定价格的</w:t>
      </w:r>
      <w:r>
        <w:rPr>
          <w:rFonts w:hint="eastAsia" w:ascii="仿宋" w:hAnsi="仿宋" w:eastAsia="仿宋" w:cs="Times New Roman"/>
          <w:sz w:val="28"/>
          <w:szCs w:val="28"/>
        </w:rPr>
        <w:t>3</w:t>
      </w:r>
      <w:r>
        <w:rPr>
          <w:rFonts w:ascii="仿宋" w:hAnsi="仿宋" w:eastAsia="仿宋" w:cs="Times New Roman"/>
          <w:sz w:val="28"/>
          <w:szCs w:val="28"/>
        </w:rPr>
        <w:t>0%</w:t>
      </w:r>
      <w:r>
        <w:rPr>
          <w:rFonts w:hint="eastAsia" w:ascii="仿宋" w:hAnsi="仿宋" w:eastAsia="仿宋" w:cs="Times New Roman"/>
          <w:sz w:val="28"/>
          <w:szCs w:val="28"/>
        </w:rPr>
        <w:t>。</w:t>
      </w:r>
      <w:r>
        <w:rPr>
          <w:rFonts w:ascii="仿宋" w:hAnsi="仿宋" w:eastAsia="仿宋" w:cs="Times New Roman"/>
          <w:sz w:val="28"/>
          <w:szCs w:val="28"/>
        </w:rPr>
        <w:t>待</w:t>
      </w:r>
      <w:r>
        <w:rPr>
          <w:rFonts w:hint="eastAsia" w:ascii="仿宋" w:hAnsi="仿宋" w:eastAsia="仿宋" w:cs="Times New Roman"/>
          <w:sz w:val="28"/>
          <w:szCs w:val="28"/>
        </w:rPr>
        <w:t>《水平衡测试报告》完成并协助学校通过管理部门验收后3</w:t>
      </w:r>
      <w:r>
        <w:rPr>
          <w:rFonts w:ascii="仿宋" w:hAnsi="仿宋" w:eastAsia="仿宋" w:cs="Times New Roman"/>
          <w:sz w:val="28"/>
          <w:szCs w:val="28"/>
        </w:rPr>
        <w:t>0个工作日支付合同约定价格的70%。</w:t>
      </w:r>
    </w:p>
    <w:p w14:paraId="32CEDD2B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八、服务期限</w:t>
      </w:r>
    </w:p>
    <w:p w14:paraId="6E3F0572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1</w:t>
      </w:r>
      <w:r>
        <w:rPr>
          <w:rFonts w:ascii="仿宋" w:hAnsi="仿宋" w:eastAsia="仿宋" w:cs="Times New Roman"/>
          <w:sz w:val="28"/>
          <w:szCs w:val="28"/>
        </w:rPr>
        <w:t>20</w:t>
      </w:r>
      <w:r>
        <w:rPr>
          <w:rFonts w:hint="eastAsia" w:ascii="仿宋" w:hAnsi="仿宋" w:eastAsia="仿宋" w:cs="Times New Roman"/>
          <w:sz w:val="28"/>
          <w:szCs w:val="28"/>
        </w:rPr>
        <w:t>天，自合同签订之日起计算；</w:t>
      </w:r>
    </w:p>
    <w:p w14:paraId="6DFFA20C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九、响应文件组成</w:t>
      </w:r>
    </w:p>
    <w:p w14:paraId="3ECC4954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响应文件应严格</w:t>
      </w:r>
      <w:r>
        <w:rPr>
          <w:rFonts w:hint="eastAsia" w:ascii="仿宋" w:hAnsi="仿宋" w:eastAsia="仿宋" w:cs="Times New Roman"/>
          <w:b/>
          <w:bCs/>
          <w:sz w:val="44"/>
          <w:szCs w:val="44"/>
        </w:rPr>
        <w:t>按照以下顺序装订成册</w:t>
      </w:r>
      <w:r>
        <w:rPr>
          <w:rFonts w:hint="eastAsia" w:ascii="仿宋" w:hAnsi="仿宋" w:eastAsia="仿宋" w:cs="Times New Roman"/>
          <w:sz w:val="28"/>
          <w:szCs w:val="28"/>
        </w:rPr>
        <w:t>，纸质版和电子版材料密封后提交。</w:t>
      </w:r>
    </w:p>
    <w:p w14:paraId="7A619136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上海外国语大学松江校区水平衡测试项目报价单；</w:t>
      </w:r>
    </w:p>
    <w:p w14:paraId="1B2091D2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项目需求理解；</w:t>
      </w:r>
    </w:p>
    <w:p w14:paraId="0F1466FE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项目服务实施方案；</w:t>
      </w:r>
    </w:p>
    <w:p w14:paraId="448B8FE9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项目人员配置</w:t>
      </w:r>
      <w:r>
        <w:rPr>
          <w:rFonts w:hint="eastAsia" w:ascii="仿宋" w:hAnsi="仿宋" w:eastAsia="仿宋" w:cs="Times New Roman"/>
          <w:sz w:val="28"/>
          <w:szCs w:val="28"/>
        </w:rPr>
        <w:t>；</w:t>
      </w:r>
    </w:p>
    <w:p w14:paraId="2D9F7929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同类项目业绩；</w:t>
      </w:r>
    </w:p>
    <w:p w14:paraId="4D75C573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服务承诺与质量保障</w:t>
      </w:r>
      <w:r>
        <w:rPr>
          <w:rFonts w:hint="eastAsia" w:ascii="仿宋" w:hAnsi="仿宋" w:eastAsia="仿宋" w:cs="Times New Roman"/>
          <w:sz w:val="28"/>
          <w:szCs w:val="28"/>
        </w:rPr>
        <w:t>；</w:t>
      </w:r>
    </w:p>
    <w:p w14:paraId="5620913E">
      <w:pPr>
        <w:numPr>
          <w:ilvl w:val="0"/>
          <w:numId w:val="1"/>
        </w:numPr>
        <w:adjustRightInd w:val="0"/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t>合理化建议及特色服务</w:t>
      </w:r>
      <w:r>
        <w:rPr>
          <w:rFonts w:hint="eastAsia" w:ascii="仿宋" w:hAnsi="仿宋" w:eastAsia="仿宋" w:cs="Times New Roman"/>
          <w:sz w:val="28"/>
          <w:szCs w:val="28"/>
        </w:rPr>
        <w:t>。</w:t>
      </w:r>
    </w:p>
    <w:p w14:paraId="35E61E1E">
      <w:pPr>
        <w:snapToGrid w:val="0"/>
        <w:spacing w:after="0" w:line="360" w:lineRule="auto"/>
        <w:jc w:val="both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十、附件</w:t>
      </w:r>
    </w:p>
    <w:p w14:paraId="4FB618B9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附件一：《上海外国语大学松江校区水平衡测试项目报价单》</w:t>
      </w:r>
    </w:p>
    <w:p w14:paraId="1EDACA89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说明：本采购需求与比选公告具有同等效力，供应商应仔细阅读并按要求响应</w:t>
      </w:r>
    </w:p>
    <w:p w14:paraId="34744B9F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48B674B7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4F18197C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7B2CC5F7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5B7F5E3E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6356976D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2B2887A0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669D2CCA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30FCBE4E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3AD8565A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6EC81731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48DFD863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4912A271">
      <w:pPr>
        <w:snapToGrid w:val="0"/>
        <w:spacing w:after="0" w:line="360" w:lineRule="auto"/>
        <w:jc w:val="center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附件一 上海外国语大学松江校区水平衡测试项目报价单</w:t>
      </w:r>
    </w:p>
    <w:p w14:paraId="61C1D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宋体" w:cs="Times New Roman"/>
          <w:color w:val="000000"/>
          <w:kern w:val="0"/>
          <w:sz w:val="24"/>
          <w14:ligatures w14:val="none"/>
        </w:rPr>
      </w:pPr>
    </w:p>
    <w:tbl>
      <w:tblPr>
        <w:tblStyle w:val="15"/>
        <w:tblW w:w="93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4274"/>
        <w:gridCol w:w="698"/>
        <w:gridCol w:w="698"/>
        <w:gridCol w:w="1421"/>
        <w:gridCol w:w="1421"/>
        <w:gridCol w:w="942"/>
      </w:tblGrid>
      <w:tr w14:paraId="3F01B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30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8E607B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上海外国语大学松江校区水平衡测试项目报价单</w:t>
            </w:r>
          </w:p>
        </w:tc>
      </w:tr>
      <w:tr w14:paraId="558F6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DE93E7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序号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4CCE7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服务内容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76BA5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数量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4FEB6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项目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6005B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单价（元）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C660E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合计（元）</w:t>
            </w: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BE389D3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备注</w:t>
            </w:r>
          </w:p>
        </w:tc>
      </w:tr>
      <w:tr w14:paraId="308D9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A0F3BC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9FF8A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现场踏勘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182BAF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1A2E27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44F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4EFA3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F30B9F2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387E7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1431C4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BDDB3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用水数据采集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856E8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06B9C8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414FCF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6952CA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022C365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0C90A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A86E81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79FAF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用水数据分析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CDF8C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39BBDD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90365C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BE268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85B4B79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945F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4DEFD4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795BEA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合理化建议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E97B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DDD05A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38BE7F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30CA1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65D7C41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2670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DC20D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684897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计量网图更新绘制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E9271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9DEBA8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B75768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A412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AC92DC3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B0C2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CB14D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B2BE8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给排水图更新绘制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B4630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7795F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AFBC39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730A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8BE492B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33BDC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DB3F64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F8A80A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水平衡报告编制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CC2B8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868357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FA6E1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E1BCD3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891FF3A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0771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D0E32B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9FDDC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项目验收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EBCA8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1CB7D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894B4C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909720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7BD2BB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4CD7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E78FCE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9173721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小计</w:t>
            </w:r>
          </w:p>
        </w:tc>
        <w:tc>
          <w:tcPr>
            <w:tcW w:w="223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83EE11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A34C5B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6F7E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60C805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951F0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税费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E0C2B3D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57A6AB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E972D1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5F61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8AD553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2A1F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CCEC2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679A216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223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E965A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8B10046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</w:tbl>
    <w:p w14:paraId="5D280908">
      <w:pPr>
        <w:snapToGrid w:val="0"/>
        <w:spacing w:after="0" w:line="360" w:lineRule="auto"/>
        <w:ind w:firstLine="560" w:firstLineChars="200"/>
        <w:jc w:val="both"/>
        <w:rPr>
          <w:rFonts w:ascii="仿宋" w:hAnsi="仿宋" w:eastAsia="仿宋" w:cs="Times New Roman"/>
          <w:sz w:val="28"/>
          <w:szCs w:val="28"/>
        </w:rPr>
      </w:pPr>
    </w:p>
    <w:p w14:paraId="7266F585">
      <w:pPr>
        <w:spacing w:after="0" w:line="240" w:lineRule="auto"/>
        <w:rPr>
          <w:rFonts w:ascii="黑体" w:hAnsi="黑体" w:eastAsia="黑体"/>
          <w:sz w:val="36"/>
          <w:szCs w:val="36"/>
        </w:rPr>
      </w:pPr>
    </w:p>
    <w:p w14:paraId="3C3C87A3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</w:p>
    <w:p w14:paraId="4859F823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</w:p>
    <w:p w14:paraId="3A0BF1B6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</w:p>
    <w:p w14:paraId="1964A0DE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</w:p>
    <w:p w14:paraId="5BB7DCDB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上海外国语大学松江校区水平衡测试技术服务</w:t>
      </w:r>
    </w:p>
    <w:p w14:paraId="35A3502A">
      <w:pPr>
        <w:spacing w:after="0" w:line="24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项目比选评分标准</w:t>
      </w:r>
    </w:p>
    <w:p w14:paraId="6DBB433C">
      <w:pPr>
        <w:adjustRightInd w:val="0"/>
        <w:snapToGrid w:val="0"/>
        <w:spacing w:after="0" w:line="520" w:lineRule="exact"/>
        <w:ind w:firstLine="560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项目采用综合评分法，总分100分。其中：商务报价部分30分，技术部分70分。评审小组将对通过资格性和符合性审查的响应文件进行综合评审，按评审后得分由高到低顺序排列，推荐成交供应商。得分相同的，按报价由低到高顺序排列。</w:t>
      </w:r>
    </w:p>
    <w:p w14:paraId="5F768F1D">
      <w:pPr>
        <w:spacing w:after="0" w:line="240" w:lineRule="auto"/>
        <w:jc w:val="both"/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一、商务报价评分（30分）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1417"/>
        <w:gridCol w:w="4190"/>
      </w:tblGrid>
      <w:tr w14:paraId="0CF6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5E1D4C0A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</w:t>
            </w:r>
          </w:p>
        </w:tc>
        <w:tc>
          <w:tcPr>
            <w:tcW w:w="1843" w:type="dxa"/>
          </w:tcPr>
          <w:p w14:paraId="28898E2D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评审因素</w:t>
            </w:r>
          </w:p>
        </w:tc>
        <w:tc>
          <w:tcPr>
            <w:tcW w:w="1417" w:type="dxa"/>
          </w:tcPr>
          <w:p w14:paraId="5276670A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分值</w:t>
            </w:r>
          </w:p>
        </w:tc>
        <w:tc>
          <w:tcPr>
            <w:tcW w:w="4190" w:type="dxa"/>
          </w:tcPr>
          <w:p w14:paraId="11715580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评分说明</w:t>
            </w:r>
          </w:p>
        </w:tc>
      </w:tr>
      <w:tr w14:paraId="46A6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846" w:type="dxa"/>
            <w:vAlign w:val="center"/>
          </w:tcPr>
          <w:p w14:paraId="21798EF5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28B9F05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报价得分</w:t>
            </w:r>
          </w:p>
        </w:tc>
        <w:tc>
          <w:tcPr>
            <w:tcW w:w="1417" w:type="dxa"/>
            <w:vAlign w:val="center"/>
          </w:tcPr>
          <w:p w14:paraId="61A96C69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30分</w:t>
            </w:r>
          </w:p>
        </w:tc>
        <w:tc>
          <w:tcPr>
            <w:tcW w:w="4190" w:type="dxa"/>
          </w:tcPr>
          <w:p w14:paraId="67C7EF0E">
            <w:pPr>
              <w:spacing w:after="0"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1.确定评审基准价：满足比选文件要求且最低的经评审的响应报价为评审基准价。</w:t>
            </w:r>
          </w:p>
          <w:p w14:paraId="37B54586">
            <w:pPr>
              <w:spacing w:after="0"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计算得分：报价得分=评审基准价／经评审的响应报价×价格权值（30%）×100。</w:t>
            </w:r>
          </w:p>
          <w:p w14:paraId="69EDBEF6">
            <w:pPr>
              <w:spacing w:after="0"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2.报价要求：供应商须根据比选文件附件一《上海外国语大学松江校区水平衡测试项目报价单》进行报价。</w:t>
            </w:r>
          </w:p>
        </w:tc>
      </w:tr>
    </w:tbl>
    <w:p w14:paraId="0A770FC2">
      <w:pPr>
        <w:spacing w:after="0" w:line="240" w:lineRule="auto"/>
        <w:jc w:val="both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二、技术部分评分（70分）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1417"/>
        <w:gridCol w:w="4190"/>
      </w:tblGrid>
      <w:tr w14:paraId="2DB5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4A04FC24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序号</w:t>
            </w:r>
          </w:p>
        </w:tc>
        <w:tc>
          <w:tcPr>
            <w:tcW w:w="1843" w:type="dxa"/>
          </w:tcPr>
          <w:p w14:paraId="2AA0205A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评审因素</w:t>
            </w:r>
          </w:p>
        </w:tc>
        <w:tc>
          <w:tcPr>
            <w:tcW w:w="1417" w:type="dxa"/>
          </w:tcPr>
          <w:p w14:paraId="1478615E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分值</w:t>
            </w:r>
          </w:p>
        </w:tc>
        <w:tc>
          <w:tcPr>
            <w:tcW w:w="4190" w:type="dxa"/>
          </w:tcPr>
          <w:p w14:paraId="7EA7354B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评分说明</w:t>
            </w:r>
          </w:p>
        </w:tc>
      </w:tr>
      <w:tr w14:paraId="43CE3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5ED3918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3D69A64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项目需求理解</w:t>
            </w:r>
          </w:p>
        </w:tc>
        <w:tc>
          <w:tcPr>
            <w:tcW w:w="1417" w:type="dxa"/>
            <w:vAlign w:val="center"/>
          </w:tcPr>
          <w:p w14:paraId="2DC355E7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12分</w:t>
            </w:r>
          </w:p>
        </w:tc>
        <w:tc>
          <w:tcPr>
            <w:tcW w:w="4190" w:type="dxa"/>
          </w:tcPr>
          <w:p w14:paraId="2AEF216D">
            <w:pPr>
              <w:spacing w:after="0" w:line="240" w:lineRule="auto"/>
              <w:jc w:val="both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按响应文件中对以下要点的覆盖及深度逐项计分：</w:t>
            </w:r>
          </w:p>
          <w:p w14:paraId="53FCE576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①对项目背景及采购人用水现状的分析（0-3分）；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② 能够清晰识别本项目重点并进行分析（0-3分）；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③ 清晰识别本项目难点并提出针对性分析（0-3分）；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④ 结合采购人实际情况，具有完整规范的工作思路（0-3分）。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每项根据阐述是否具体、翔实、逻辑是否清晰，按0-3分独立打分，合计得出本项得分。</w:t>
            </w:r>
          </w:p>
        </w:tc>
      </w:tr>
      <w:tr w14:paraId="50B1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82809C3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5E525441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项目服务实施方案</w:t>
            </w:r>
          </w:p>
        </w:tc>
        <w:tc>
          <w:tcPr>
            <w:tcW w:w="1417" w:type="dxa"/>
            <w:vAlign w:val="center"/>
          </w:tcPr>
          <w:p w14:paraId="3B6091AE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15分</w:t>
            </w:r>
          </w:p>
        </w:tc>
        <w:tc>
          <w:tcPr>
            <w:tcW w:w="4190" w:type="dxa"/>
          </w:tcPr>
          <w:p w14:paraId="40CFDE29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Segoe UI" w:hAnsi="Segoe UI" w:eastAsia="Segoe UI" w:cs="Segoe UI"/>
                <w:b/>
                <w:bCs/>
                <w:color w:val="0F1115"/>
                <w:szCs w:val="22"/>
                <w:shd w:val="clear" w:color="auto" w:fill="FFFFFF"/>
              </w:rPr>
              <w:t>按以下量化维度逐项评分：</w:t>
            </w:r>
          </w:p>
          <w:p w14:paraId="32A3C95E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①工作流程与步骤：是否包含完整的测试流程（准备、现场勘查、测试、数据分析、报告编制）且各阶段任务明确（0-5分）；</w:t>
            </w:r>
          </w:p>
          <w:p w14:paraId="445C6188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② 人员组织分工：是否明确项目各岗位职责及协作机制（0-3分）；</w:t>
            </w:r>
          </w:p>
          <w:p w14:paraId="707022B7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③ 质量保障措施：是否包含数据复核、误差控制、报告审核等具体质控措施（0-4分）；</w:t>
            </w:r>
          </w:p>
          <w:p w14:paraId="099F7318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④ 安全保障方案：是否包含现场作业安全、设备使用安全及应急处置预案</w:t>
            </w:r>
            <w:r>
              <w:rPr>
                <w:rFonts w:ascii="仿宋" w:hAnsi="仿宋" w:eastAsia="仿宋"/>
                <w:sz w:val="24"/>
              </w:rPr>
              <w:t>（0-</w:t>
            </w: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分）；</w:t>
            </w:r>
          </w:p>
          <w:p w14:paraId="5BC55DB0">
            <w:pPr>
              <w:spacing w:after="0" w:line="240" w:lineRule="auto"/>
              <w:jc w:val="both"/>
              <w:rPr>
                <w:rFonts w:ascii="Segoe UI" w:hAnsi="Segoe UI" w:eastAsia="Segoe UI" w:cs="Segoe UI"/>
                <w:color w:val="0F1115"/>
                <w:szCs w:val="2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bCs/>
                <w:color w:val="0F1115"/>
                <w:szCs w:val="22"/>
                <w:shd w:val="clear" w:color="auto" w:fill="FFFFFF"/>
              </w:rPr>
              <w:t>各维度独立打分，合计得出本项得分。</w:t>
            </w:r>
          </w:p>
        </w:tc>
      </w:tr>
      <w:tr w14:paraId="1B92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BE857F3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224A1A77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项目人员配置</w:t>
            </w:r>
          </w:p>
        </w:tc>
        <w:tc>
          <w:tcPr>
            <w:tcW w:w="1417" w:type="dxa"/>
            <w:vAlign w:val="center"/>
          </w:tcPr>
          <w:p w14:paraId="13977313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15分</w:t>
            </w:r>
          </w:p>
        </w:tc>
        <w:tc>
          <w:tcPr>
            <w:tcW w:w="4190" w:type="dxa"/>
          </w:tcPr>
          <w:p w14:paraId="58D491E9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按以下可量化条件逐项计分：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ascii="仿宋" w:hAnsi="仿宋" w:eastAsia="仿宋"/>
                <w:sz w:val="24"/>
              </w:rPr>
              <w:t>① 项目负责人：</w:t>
            </w:r>
            <w:r>
              <w:rPr>
                <w:rFonts w:hint="eastAsia" w:ascii="仿宋" w:hAnsi="仿宋" w:eastAsia="仿宋"/>
                <w:sz w:val="24"/>
              </w:rPr>
              <w:t>获得过</w:t>
            </w:r>
            <w:r>
              <w:rPr>
                <w:rFonts w:ascii="仿宋" w:hAnsi="仿宋" w:eastAsia="仿宋"/>
                <w:sz w:val="24"/>
              </w:rPr>
              <w:t>国</w:t>
            </w:r>
            <w:r>
              <w:rPr>
                <w:rFonts w:hint="eastAsia" w:ascii="仿宋" w:hAnsi="仿宋" w:eastAsia="仿宋"/>
                <w:sz w:val="24"/>
              </w:rPr>
              <w:t>家级</w:t>
            </w:r>
            <w:r>
              <w:rPr>
                <w:rFonts w:ascii="仿宋" w:hAnsi="仿宋" w:eastAsia="仿宋"/>
                <w:sz w:val="24"/>
              </w:rPr>
              <w:t>节水领域</w:t>
            </w:r>
            <w:r>
              <w:rPr>
                <w:rFonts w:hint="eastAsia" w:ascii="仿宋" w:hAnsi="仿宋" w:eastAsia="仿宋"/>
                <w:sz w:val="24"/>
              </w:rPr>
              <w:t>荣誉的</w:t>
            </w:r>
            <w:r>
              <w:rPr>
                <w:rFonts w:ascii="仿宋" w:hAnsi="仿宋" w:eastAsia="仿宋"/>
                <w:sz w:val="24"/>
              </w:rPr>
              <w:t>，得</w:t>
            </w:r>
            <w:r>
              <w:rPr>
                <w:rFonts w:hint="eastAsia" w:ascii="仿宋" w:hAnsi="仿宋" w:eastAsia="仿宋"/>
                <w:sz w:val="24"/>
              </w:rPr>
              <w:t>8</w:t>
            </w:r>
            <w:r>
              <w:rPr>
                <w:rFonts w:ascii="仿宋" w:hAnsi="仿宋" w:eastAsia="仿宋"/>
                <w:sz w:val="24"/>
              </w:rPr>
              <w:t>分；</w:t>
            </w:r>
            <w:r>
              <w:rPr>
                <w:rFonts w:hint="eastAsia" w:ascii="仿宋" w:hAnsi="仿宋" w:eastAsia="仿宋"/>
                <w:sz w:val="24"/>
              </w:rPr>
              <w:t>获得过省级</w:t>
            </w:r>
            <w:r>
              <w:rPr>
                <w:rFonts w:ascii="仿宋" w:hAnsi="仿宋" w:eastAsia="仿宋"/>
                <w:sz w:val="24"/>
              </w:rPr>
              <w:t>节水领域</w:t>
            </w:r>
            <w:r>
              <w:rPr>
                <w:rFonts w:hint="eastAsia" w:ascii="仿宋" w:hAnsi="仿宋" w:eastAsia="仿宋"/>
                <w:sz w:val="24"/>
              </w:rPr>
              <w:t>荣誉的</w:t>
            </w:r>
            <w:r>
              <w:rPr>
                <w:rFonts w:ascii="仿宋" w:hAnsi="仿宋" w:eastAsia="仿宋"/>
                <w:sz w:val="24"/>
              </w:rPr>
              <w:t>的，得</w:t>
            </w:r>
            <w:r>
              <w:rPr>
                <w:rFonts w:hint="eastAsia" w:ascii="仿宋" w:hAnsi="仿宋" w:eastAsia="仿宋"/>
                <w:sz w:val="24"/>
              </w:rPr>
              <w:t>4</w:t>
            </w:r>
            <w:r>
              <w:rPr>
                <w:rFonts w:ascii="仿宋" w:hAnsi="仿宋" w:eastAsia="仿宋"/>
                <w:sz w:val="24"/>
              </w:rPr>
              <w:t>分；</w:t>
            </w:r>
            <w:r>
              <w:rPr>
                <w:rFonts w:hint="eastAsia" w:ascii="仿宋" w:hAnsi="仿宋" w:eastAsia="仿宋"/>
                <w:sz w:val="24"/>
              </w:rPr>
              <w:t>获得过市级</w:t>
            </w:r>
            <w:r>
              <w:rPr>
                <w:rFonts w:ascii="仿宋" w:hAnsi="仿宋" w:eastAsia="仿宋"/>
                <w:sz w:val="24"/>
              </w:rPr>
              <w:t>节水领域</w:t>
            </w:r>
            <w:r>
              <w:rPr>
                <w:rFonts w:hint="eastAsia" w:ascii="仿宋" w:hAnsi="仿宋" w:eastAsia="仿宋"/>
                <w:sz w:val="24"/>
              </w:rPr>
              <w:t>荣誉的</w:t>
            </w:r>
            <w:r>
              <w:rPr>
                <w:rFonts w:ascii="仿宋" w:hAnsi="仿宋" w:eastAsia="仿宋"/>
                <w:sz w:val="24"/>
              </w:rPr>
              <w:t>的，得</w:t>
            </w:r>
            <w:r>
              <w:rPr>
                <w:rFonts w:hint="eastAsia" w:ascii="仿宋" w:hAnsi="仿宋" w:eastAsia="仿宋"/>
                <w:sz w:val="24"/>
              </w:rPr>
              <w:t>1</w:t>
            </w:r>
            <w:r>
              <w:rPr>
                <w:rFonts w:ascii="仿宋" w:hAnsi="仿宋" w:eastAsia="仿宋"/>
                <w:sz w:val="24"/>
              </w:rPr>
              <w:t>分；其余得0分；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ascii="仿宋" w:hAnsi="仿宋" w:eastAsia="仿宋"/>
                <w:sz w:val="24"/>
              </w:rPr>
              <w:t>② 技术团队：技术人员不少于</w:t>
            </w: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人，且均具有水平衡测试相关</w:t>
            </w:r>
            <w:r>
              <w:rPr>
                <w:rFonts w:hint="eastAsia" w:ascii="仿宋" w:hAnsi="仿宋" w:eastAsia="仿宋"/>
                <w:sz w:val="24"/>
              </w:rPr>
              <w:t>资格</w:t>
            </w:r>
            <w:r>
              <w:rPr>
                <w:rFonts w:ascii="仿宋" w:hAnsi="仿宋" w:eastAsia="仿宋"/>
                <w:sz w:val="24"/>
              </w:rPr>
              <w:t>证书的，得4分；人数或资质不足的，每缺1人扣1.5分，扣完为止；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③</w:t>
            </w:r>
            <w:r>
              <w:rPr>
                <w:rFonts w:ascii="仿宋" w:hAnsi="仿宋" w:eastAsia="仿宋"/>
                <w:sz w:val="24"/>
              </w:rPr>
              <w:t>人员</w:t>
            </w:r>
            <w:r>
              <w:rPr>
                <w:rFonts w:hint="eastAsia" w:ascii="仿宋" w:hAnsi="仿宋" w:eastAsia="仿宋"/>
                <w:sz w:val="24"/>
              </w:rPr>
              <w:t>资料</w:t>
            </w:r>
            <w:r>
              <w:rPr>
                <w:rFonts w:ascii="仿宋" w:hAnsi="仿宋" w:eastAsia="仿宋"/>
                <w:sz w:val="24"/>
              </w:rPr>
              <w:t>：提供完整的项目团队人员</w:t>
            </w:r>
            <w:r>
              <w:rPr>
                <w:rFonts w:hint="eastAsia" w:ascii="仿宋" w:hAnsi="仿宋" w:eastAsia="仿宋"/>
                <w:sz w:val="24"/>
              </w:rPr>
              <w:t>资料</w:t>
            </w:r>
            <w:r>
              <w:rPr>
                <w:rFonts w:ascii="仿宋" w:hAnsi="仿宋" w:eastAsia="仿宋"/>
                <w:sz w:val="24"/>
              </w:rPr>
              <w:t>，人员信息齐全且证明材料（证书复印件等）完整，得</w:t>
            </w:r>
            <w:r>
              <w:rPr>
                <w:rFonts w:hint="eastAsia" w:ascii="仿宋" w:hAnsi="仿宋" w:eastAsia="仿宋"/>
                <w:sz w:val="24"/>
              </w:rPr>
              <w:t>3</w:t>
            </w:r>
            <w:r>
              <w:rPr>
                <w:rFonts w:ascii="仿宋" w:hAnsi="仿宋" w:eastAsia="仿宋"/>
                <w:sz w:val="24"/>
              </w:rPr>
              <w:t>分；每缺</w:t>
            </w:r>
            <w:r>
              <w:rPr>
                <w:rFonts w:hint="eastAsia" w:ascii="仿宋" w:hAnsi="仿宋" w:eastAsia="仿宋"/>
                <w:sz w:val="24"/>
              </w:rPr>
              <w:t>少1</w:t>
            </w:r>
            <w:r>
              <w:rPr>
                <w:rFonts w:ascii="仿宋" w:hAnsi="仿宋" w:eastAsia="仿宋"/>
                <w:sz w:val="24"/>
              </w:rPr>
              <w:t>人关键材料扣</w:t>
            </w: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分，扣完为止。</w:t>
            </w:r>
            <w:r>
              <w:rPr>
                <w:rFonts w:ascii="仿宋" w:hAnsi="仿宋" w:eastAsia="仿宋"/>
                <w:sz w:val="24"/>
              </w:rPr>
              <w:br w:type="textWrapping"/>
            </w:r>
            <w:r>
              <w:rPr>
                <w:rFonts w:ascii="仿宋" w:hAnsi="仿宋" w:eastAsia="仿宋"/>
                <w:b/>
                <w:bCs/>
                <w:sz w:val="24"/>
              </w:rPr>
              <w:t>各项独立计分，合计得出本项得分。</w:t>
            </w:r>
            <w:r>
              <w:rPr>
                <w:rFonts w:ascii="仿宋" w:hAnsi="仿宋" w:eastAsia="仿宋"/>
                <w:sz w:val="24"/>
              </w:rPr>
              <w:t> </w:t>
            </w:r>
          </w:p>
        </w:tc>
      </w:tr>
      <w:tr w14:paraId="05B9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846" w:type="dxa"/>
            <w:vAlign w:val="center"/>
          </w:tcPr>
          <w:p w14:paraId="32343397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5DE1EE93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同类项目业绩</w:t>
            </w:r>
          </w:p>
        </w:tc>
        <w:tc>
          <w:tcPr>
            <w:tcW w:w="1417" w:type="dxa"/>
            <w:vAlign w:val="center"/>
          </w:tcPr>
          <w:p w14:paraId="1094D232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10分</w:t>
            </w:r>
          </w:p>
        </w:tc>
        <w:tc>
          <w:tcPr>
            <w:tcW w:w="4190" w:type="dxa"/>
          </w:tcPr>
          <w:p w14:paraId="20FA80AB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提供近三年（自比选公告发布之日起向前推算）高校水平衡测试类似项目业绩证明材料（合同复印件关键页或中标通知书，具备有效盖章）。每提供1个有效业绩得2分，最</w:t>
            </w:r>
            <w:r>
              <w:rPr>
                <w:rFonts w:hint="eastAsia" w:ascii="仿宋" w:hAnsi="仿宋" w:eastAsia="仿宋"/>
                <w:sz w:val="24"/>
              </w:rPr>
              <w:t>多</w:t>
            </w:r>
            <w:r>
              <w:rPr>
                <w:rFonts w:ascii="仿宋" w:hAnsi="仿宋" w:eastAsia="仿宋"/>
                <w:sz w:val="24"/>
              </w:rPr>
              <w:t>得10分。（同一业主的多个合同按一个业绩计，重复不累计。）</w:t>
            </w:r>
          </w:p>
          <w:p w14:paraId="1AEEF737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</w:p>
        </w:tc>
      </w:tr>
      <w:tr w14:paraId="76AC8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6807DA3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5657E31B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服务承诺与质量保障</w:t>
            </w:r>
          </w:p>
        </w:tc>
        <w:tc>
          <w:tcPr>
            <w:tcW w:w="1417" w:type="dxa"/>
            <w:vAlign w:val="center"/>
          </w:tcPr>
          <w:p w14:paraId="351159A6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10分</w:t>
            </w:r>
          </w:p>
        </w:tc>
        <w:tc>
          <w:tcPr>
            <w:tcW w:w="4190" w:type="dxa"/>
          </w:tcPr>
          <w:p w14:paraId="0F6D4D3E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F1115"/>
                <w:sz w:val="24"/>
                <w:shd w:val="clear" w:color="auto" w:fill="FFFFFF"/>
              </w:rPr>
              <w:t>按以下量化承诺逐项评分：</w:t>
            </w:r>
            <w:r>
              <w:rPr>
                <w:rFonts w:hint="eastAsia" w:ascii="仿宋" w:hAnsi="仿宋" w:eastAsia="仿宋" w:cs="仿宋"/>
                <w:color w:val="0F1115"/>
                <w:sz w:val="24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① 成果交付承诺：承诺在合同约定时间内提交完整的水平衡测试报告 ，报告内容须包含松江校区用水分析、节水建议等必要章节，（0-4分）；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② 售后服务：承诺在报告提交后提供不少于1年的技术咨询，且对采购人提出的疑问在24小时内响应，（0-3分）；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③ 人员培训：承诺为采购人管理人员及操作人员提供不少于2小时的现场培训，内容涵盖测试结果解读、日常节水管理要点，（0-3分）；</w:t>
            </w:r>
            <w:r>
              <w:rPr>
                <w:rFonts w:hint="eastAsia" w:ascii="仿宋" w:hAnsi="仿宋" w:eastAsia="仿宋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color w:val="0F1115"/>
                <w:sz w:val="24"/>
                <w:shd w:val="clear" w:color="auto" w:fill="FFFFFF"/>
              </w:rPr>
              <w:t>每项有明确承诺且内容具体可得相应分数，模糊或未承诺不得分。</w:t>
            </w:r>
          </w:p>
        </w:tc>
      </w:tr>
      <w:tr w14:paraId="69C8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8FE4D16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</w:t>
            </w:r>
          </w:p>
        </w:tc>
        <w:tc>
          <w:tcPr>
            <w:tcW w:w="1843" w:type="dxa"/>
            <w:vAlign w:val="center"/>
          </w:tcPr>
          <w:p w14:paraId="00721018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合理化建议及特色服务</w:t>
            </w:r>
          </w:p>
        </w:tc>
        <w:tc>
          <w:tcPr>
            <w:tcW w:w="1417" w:type="dxa"/>
            <w:vAlign w:val="center"/>
          </w:tcPr>
          <w:p w14:paraId="7D25FF2A"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8分</w:t>
            </w:r>
          </w:p>
        </w:tc>
        <w:tc>
          <w:tcPr>
            <w:tcW w:w="4190" w:type="dxa"/>
          </w:tcPr>
          <w:p w14:paraId="09B846A4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Segoe UI" w:hAnsi="Segoe UI" w:eastAsia="Segoe UI" w:cs="Segoe UI"/>
                <w:b/>
                <w:bCs/>
                <w:color w:val="0F1115"/>
                <w:szCs w:val="22"/>
                <w:shd w:val="clear" w:color="auto" w:fill="FFFFFF"/>
              </w:rPr>
              <w:t>按提出的有效建议数量及价值评分：</w:t>
            </w:r>
            <w:r>
              <w:rPr>
                <w:rFonts w:ascii="Segoe UI" w:hAnsi="Segoe UI" w:eastAsia="Segoe UI" w:cs="Segoe UI"/>
                <w:color w:val="0F1115"/>
                <w:szCs w:val="22"/>
                <w:shd w:val="clear" w:color="auto" w:fill="FFFFFF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①</w:t>
            </w:r>
            <w:r>
              <w:rPr>
                <w:rFonts w:ascii="仿宋" w:hAnsi="仿宋" w:eastAsia="仿宋"/>
                <w:sz w:val="24"/>
              </w:rPr>
              <w:t>每提出1条针对</w:t>
            </w:r>
            <w:r>
              <w:rPr>
                <w:rFonts w:hint="eastAsia" w:ascii="仿宋" w:hAnsi="仿宋" w:eastAsia="仿宋"/>
                <w:sz w:val="24"/>
              </w:rPr>
              <w:t>学校</w:t>
            </w:r>
            <w:r>
              <w:rPr>
                <w:rFonts w:ascii="仿宋" w:hAnsi="仿宋" w:eastAsia="仿宋"/>
                <w:sz w:val="24"/>
              </w:rPr>
              <w:t>实际情况的具体、可操作的合理化</w:t>
            </w:r>
            <w:r>
              <w:rPr>
                <w:rFonts w:hint="eastAsia" w:ascii="仿宋" w:hAnsi="仿宋" w:eastAsia="仿宋"/>
                <w:sz w:val="24"/>
              </w:rPr>
              <w:t>节水</w:t>
            </w:r>
            <w:r>
              <w:rPr>
                <w:rFonts w:ascii="仿宋" w:hAnsi="仿宋" w:eastAsia="仿宋"/>
                <w:sz w:val="24"/>
              </w:rPr>
              <w:t>建议，且被评审组认定为可行的，得</w:t>
            </w: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分，最多得</w:t>
            </w:r>
            <w:r>
              <w:rPr>
                <w:rFonts w:hint="eastAsia" w:ascii="仿宋" w:hAnsi="仿宋" w:eastAsia="仿宋"/>
                <w:sz w:val="24"/>
              </w:rPr>
              <w:t>4</w:t>
            </w:r>
            <w:r>
              <w:rPr>
                <w:rFonts w:ascii="仿宋" w:hAnsi="仿宋" w:eastAsia="仿宋"/>
                <w:sz w:val="24"/>
              </w:rPr>
              <w:t>分；</w:t>
            </w:r>
          </w:p>
          <w:p w14:paraId="6F8CA9D1">
            <w:pPr>
              <w:spacing w:after="0" w:line="240" w:lineRule="auto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Segoe UI" w:hAnsi="Segoe UI" w:eastAsia="Segoe UI" w:cs="Segoe UI"/>
                <w:color w:val="0F1115"/>
                <w:szCs w:val="22"/>
                <w:shd w:val="clear" w:color="auto" w:fill="FFFFFF"/>
              </w:rPr>
              <w:t xml:space="preserve">② </w:t>
            </w:r>
            <w:r>
              <w:rPr>
                <w:rFonts w:ascii="仿宋" w:hAnsi="仿宋" w:eastAsia="仿宋"/>
                <w:sz w:val="24"/>
              </w:rPr>
              <w:t>每提出1条特色服务，且被评审组认定为可行的，每项特色服务得</w:t>
            </w: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分，最多得</w:t>
            </w:r>
            <w:r>
              <w:rPr>
                <w:rFonts w:hint="eastAsia" w:ascii="仿宋" w:hAnsi="仿宋" w:eastAsia="仿宋"/>
                <w:sz w:val="24"/>
              </w:rPr>
              <w:t>4</w:t>
            </w:r>
            <w:r>
              <w:rPr>
                <w:rFonts w:ascii="仿宋" w:hAnsi="仿宋" w:eastAsia="仿宋"/>
                <w:sz w:val="24"/>
              </w:rPr>
              <w:t>分。</w:t>
            </w:r>
            <w:r>
              <w:rPr>
                <w:rFonts w:ascii="Segoe UI" w:hAnsi="Segoe UI" w:eastAsia="Segoe UI" w:cs="Segoe UI"/>
                <w:color w:val="0F1115"/>
                <w:szCs w:val="22"/>
                <w:shd w:val="clear" w:color="auto" w:fill="FFFFFF"/>
              </w:rPr>
              <w:br w:type="textWrapping"/>
            </w:r>
            <w:r>
              <w:rPr>
                <w:rFonts w:ascii="Segoe UI" w:hAnsi="Segoe UI" w:eastAsia="Segoe UI" w:cs="Segoe UI"/>
                <w:b/>
                <w:bCs/>
                <w:color w:val="0F1115"/>
                <w:szCs w:val="22"/>
                <w:shd w:val="clear" w:color="auto" w:fill="FFFFFF"/>
              </w:rPr>
              <w:t>总得分不超过8分。</w:t>
            </w:r>
          </w:p>
        </w:tc>
      </w:tr>
    </w:tbl>
    <w:p w14:paraId="64DD59F0">
      <w:pPr>
        <w:spacing w:after="0" w:line="240" w:lineRule="auto"/>
        <w:jc w:val="both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三、总分计算规则</w:t>
      </w:r>
    </w:p>
    <w:p w14:paraId="0AE11B12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1.总分 = 商务报价得分 + 技术部分得分；</w:t>
      </w:r>
    </w:p>
    <w:p w14:paraId="77A7A745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2.各项得分均保留小数点后两位；</w:t>
      </w:r>
    </w:p>
    <w:p w14:paraId="306486F5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3.若出现总分并列且影响成交候选人排序的，按报价由低到高顺序排列；报价仍相同的，由评审小组投票确定。</w:t>
      </w:r>
    </w:p>
    <w:p w14:paraId="5060F04D">
      <w:pPr>
        <w:spacing w:after="0" w:line="240" w:lineRule="auto"/>
        <w:jc w:val="both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四、评审说明</w:t>
      </w:r>
    </w:p>
    <w:p w14:paraId="1A9981EE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1.评审小组将根据供应商提交的响应文件进行独立评分，取算术平均值作为最终得分；</w:t>
      </w:r>
    </w:p>
    <w:p w14:paraId="3237C3A3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2.供应商未按要求提供证明材料或响应内容不符合比选文件要求的，对应项不得分；</w:t>
      </w:r>
    </w:p>
    <w:p w14:paraId="20378D14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3.如发现供应商存在弄虚作假、恶意报价等行为，一经查实，取消其参选资格并列入学校供应商黑名单。</w:t>
      </w:r>
    </w:p>
    <w:p w14:paraId="0C396427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</w:p>
    <w:p w14:paraId="2C54756C">
      <w:pPr>
        <w:spacing w:after="0" w:line="240" w:lineRule="auto"/>
        <w:jc w:val="both"/>
        <w:rPr>
          <w:rFonts w:ascii="仿宋" w:hAnsi="仿宋" w:eastAsia="仿宋"/>
          <w:sz w:val="28"/>
          <w:szCs w:val="28"/>
        </w:rPr>
      </w:pPr>
    </w:p>
    <w:p w14:paraId="3B95CDBB">
      <w:pPr>
        <w:spacing w:after="0" w:line="240" w:lineRule="auto"/>
        <w:ind w:left="5060" w:leftChars="23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上海外国语大学总务处</w:t>
      </w:r>
    </w:p>
    <w:p w14:paraId="7FC409F6">
      <w:pPr>
        <w:spacing w:after="0" w:line="240" w:lineRule="auto"/>
        <w:ind w:left="5060" w:leftChars="23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30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99502D"/>
    <w:multiLevelType w:val="singleLevel"/>
    <w:tmpl w:val="F599502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E1"/>
    <w:rsid w:val="0012298C"/>
    <w:rsid w:val="00281AE1"/>
    <w:rsid w:val="003223B4"/>
    <w:rsid w:val="0043261B"/>
    <w:rsid w:val="00617C1E"/>
    <w:rsid w:val="006823F1"/>
    <w:rsid w:val="006D5875"/>
    <w:rsid w:val="00781295"/>
    <w:rsid w:val="008A34E7"/>
    <w:rsid w:val="008F0778"/>
    <w:rsid w:val="00A55CF4"/>
    <w:rsid w:val="00A5667C"/>
    <w:rsid w:val="00A63357"/>
    <w:rsid w:val="00AD7F91"/>
    <w:rsid w:val="00BA3D2C"/>
    <w:rsid w:val="00CA7962"/>
    <w:rsid w:val="00E87FF7"/>
    <w:rsid w:val="00FE2121"/>
    <w:rsid w:val="025B1243"/>
    <w:rsid w:val="053718C6"/>
    <w:rsid w:val="073C1F26"/>
    <w:rsid w:val="07634BF4"/>
    <w:rsid w:val="0AB512EB"/>
    <w:rsid w:val="0B865355"/>
    <w:rsid w:val="0BCB4B16"/>
    <w:rsid w:val="0CF01201"/>
    <w:rsid w:val="0DCB6388"/>
    <w:rsid w:val="10AB683B"/>
    <w:rsid w:val="11FF23F6"/>
    <w:rsid w:val="15323E58"/>
    <w:rsid w:val="18C9062F"/>
    <w:rsid w:val="19633115"/>
    <w:rsid w:val="19FE1ABC"/>
    <w:rsid w:val="1CF2284B"/>
    <w:rsid w:val="1E731769"/>
    <w:rsid w:val="1F070103"/>
    <w:rsid w:val="21E07116"/>
    <w:rsid w:val="21EA1D42"/>
    <w:rsid w:val="26C43100"/>
    <w:rsid w:val="26F97D9D"/>
    <w:rsid w:val="2AC85DB9"/>
    <w:rsid w:val="2C1C3440"/>
    <w:rsid w:val="2CD87DA9"/>
    <w:rsid w:val="2F21314B"/>
    <w:rsid w:val="333164AF"/>
    <w:rsid w:val="34256C90"/>
    <w:rsid w:val="38A30D7A"/>
    <w:rsid w:val="38EF2B34"/>
    <w:rsid w:val="38F35CA3"/>
    <w:rsid w:val="39132202"/>
    <w:rsid w:val="39D47424"/>
    <w:rsid w:val="3D2D04B7"/>
    <w:rsid w:val="4033445D"/>
    <w:rsid w:val="411C59CA"/>
    <w:rsid w:val="41960536"/>
    <w:rsid w:val="45A5284F"/>
    <w:rsid w:val="470B1C8F"/>
    <w:rsid w:val="48345216"/>
    <w:rsid w:val="4A730277"/>
    <w:rsid w:val="4B393F1F"/>
    <w:rsid w:val="4CC0301D"/>
    <w:rsid w:val="4E582450"/>
    <w:rsid w:val="50D130C8"/>
    <w:rsid w:val="51142088"/>
    <w:rsid w:val="520E6AD8"/>
    <w:rsid w:val="52A743DC"/>
    <w:rsid w:val="52DE64AA"/>
    <w:rsid w:val="53CC27A6"/>
    <w:rsid w:val="56E07A2A"/>
    <w:rsid w:val="57770C7B"/>
    <w:rsid w:val="58670CF0"/>
    <w:rsid w:val="58E6430A"/>
    <w:rsid w:val="5A372386"/>
    <w:rsid w:val="5AA17E0E"/>
    <w:rsid w:val="5C844566"/>
    <w:rsid w:val="5EB03C10"/>
    <w:rsid w:val="620D0B5A"/>
    <w:rsid w:val="62F33080"/>
    <w:rsid w:val="63BD7F1D"/>
    <w:rsid w:val="659B1574"/>
    <w:rsid w:val="66CE78A5"/>
    <w:rsid w:val="6ABF152D"/>
    <w:rsid w:val="6C1626FC"/>
    <w:rsid w:val="6E6715F2"/>
    <w:rsid w:val="718058EB"/>
    <w:rsid w:val="739534AE"/>
    <w:rsid w:val="74061450"/>
    <w:rsid w:val="743D3B12"/>
    <w:rsid w:val="77D55E6A"/>
    <w:rsid w:val="77F01AD6"/>
    <w:rsid w:val="7A5E47B7"/>
    <w:rsid w:val="7AC57DCC"/>
    <w:rsid w:val="7B963516"/>
    <w:rsid w:val="7D081803"/>
    <w:rsid w:val="7E061175"/>
    <w:rsid w:val="7F1959CD"/>
    <w:rsid w:val="7F40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标题 1 Char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Char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Char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Char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Char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Char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Char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Char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Char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Char"/>
    <w:basedOn w:val="17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7">
    <w:name w:val="页脚 Char"/>
    <w:basedOn w:val="17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2832</Words>
  <Characters>2934</Characters>
  <Lines>22</Lines>
  <Paragraphs>6</Paragraphs>
  <TotalTime>25</TotalTime>
  <ScaleCrop>false</ScaleCrop>
  <LinksUpToDate>false</LinksUpToDate>
  <CharactersWithSpaces>2958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2026-09-05T13:48:00Z</dcterms:created>
  <dc:creator>幸 福</dc:creator>
  <cp:lastModifiedBy>吴珉玥</cp:lastModifiedBy>
  <dcterms:modified xsi:type="dcterms:W3CDTF">2026-09-30T08:04:53Z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eyJoZGlkIjoiMDM1YzcxZjNjZDJkN2FkM2JmZGJjZTc2MzE0MjUzOTkiLCJ1c2VySWQiOiIxMTUxMTMwMzQwIn0=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DD0205077CC443DE9923C0DFE6D97123_13</vt:lpwstr>
  </property>
</Properties>
</file>