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5081C">
      <w:pPr>
        <w:spacing w:after="240" w:line="360" w:lineRule="auto"/>
        <w:jc w:val="center"/>
      </w:pPr>
      <w:r>
        <w:rPr>
          <w:rFonts w:ascii="Times New Roman" w:hAnsi="Times New Roman" w:eastAsia="黑体"/>
          <w:b/>
          <w:sz w:val="32"/>
        </w:rPr>
        <w:t>松江校区第二、第三教学楼修缮改建工程</w:t>
      </w:r>
      <w:r>
        <w:rPr>
          <w:rFonts w:ascii="Times New Roman" w:hAnsi="Times New Roman" w:eastAsia="黑体"/>
          <w:b/>
          <w:sz w:val="32"/>
        </w:rPr>
        <w:br w:type="textWrapping"/>
      </w:r>
      <w:r>
        <w:rPr>
          <w:rFonts w:ascii="Times New Roman" w:hAnsi="Times New Roman" w:eastAsia="黑体"/>
          <w:b/>
          <w:sz w:val="32"/>
        </w:rPr>
        <w:t>方案配合设计单位比选采购需求</w:t>
      </w:r>
    </w:p>
    <w:p w14:paraId="010E6E40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一、项目概况</w:t>
      </w:r>
    </w:p>
    <w:p w14:paraId="56CBEBD6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（一）项目名称：上海外国语大学松江校区第二、第三教学楼修缮改建工程方案配合设计单位比选</w:t>
      </w:r>
    </w:p>
    <w:p w14:paraId="4B6B60AF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（二）项目地点：上海外国语大学松江校区第二、第三教学楼</w:t>
      </w:r>
    </w:p>
    <w:p w14:paraId="7E45AFD9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（三）服务期限：自合同签订之日起至配合学校完成初步设计及概算评审、按评审意见修改完善设计文件并交付设计交底资料止，设计进度须满足校方规定的进度要求。</w:t>
      </w:r>
    </w:p>
    <w:p w14:paraId="1EF683E4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（四）项目预算：比选限价人民币28万元（含税），大写：贰拾捌万元整。</w:t>
      </w:r>
    </w:p>
    <w:p w14:paraId="28FE50E2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二、服务范围与设计内容</w:t>
      </w:r>
    </w:p>
    <w:p w14:paraId="70B0889A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（一）对松江校区第二、第三教学楼修缮改建工程开展方案设计，组织建筑、结构、给排水、暖通、电气等各专业设计人员，编制方案设计文件。</w:t>
      </w:r>
    </w:p>
    <w:p w14:paraId="3D82EDD3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项目主要建设内容：对第二、第三教学楼实施系统性修缮与功能改建，包括更换屋面防水材料、更换内外门窗、内墙天棚地面及外墙翻新、卫生间改造、智能教室升级、地面沉降治理，以及局部门厅挑空、玻璃幕墙外推（移）等；项目原建筑面积26770平方米，建成后总建筑面积约27095平方米。</w:t>
      </w:r>
    </w:p>
    <w:p w14:paraId="66CD4516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（三）配合学校完成初步设计及概算评审，按评审意见修改完善设计文件。</w:t>
      </w:r>
    </w:p>
    <w:p w14:paraId="1FC82B93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三、设计依据</w:t>
      </w:r>
    </w:p>
    <w:p w14:paraId="35BA85D6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（一）国家及上海市现行有关建筑设计、修缮改造、消防、节能、环保等方面的法律法规、设计规范与标准；</w:t>
      </w:r>
    </w:p>
    <w:p w14:paraId="51F5FF2D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（二）学校“十五五”基本建设规划、校园更新规划设计要求及现行相关管理规定。上述标准如有更新，按现行有效版本执行。</w:t>
      </w:r>
    </w:p>
    <w:p w14:paraId="1F9E4AAE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四、报价计量</w:t>
      </w:r>
    </w:p>
    <w:p w14:paraId="477CBEB8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（一）本项目采用总价包干，报价为含税总价，含各专业设计、概算配合、评审配合、修改、现场服务、差旅等全部费用，中选后不因工作量波动调价。</w:t>
      </w:r>
    </w:p>
    <w:p w14:paraId="4B5DAF67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（二）报价不得超过比选限价人民币28万元，超过限价的响应文件按无效处理。</w:t>
      </w:r>
    </w:p>
    <w:p w14:paraId="39494255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五、服务要求</w:t>
      </w:r>
    </w:p>
    <w:p w14:paraId="1AADE7AD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（一）中选单位应按学校要求进度提交方案设计文件，并配合学校完成初步设计及概算评审，按评审意见及时修改完善设计文件。</w:t>
      </w:r>
    </w:p>
    <w:p w14:paraId="2732E8AD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（二）项目负责人须全程参与，各专业设计人员配置齐全，保证设计深度和出图质量。</w:t>
      </w:r>
    </w:p>
    <w:p w14:paraId="4C5A1E24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（三）中选单位应配合学校完成与设计相关的报批、咨询沟通工作，并按学校通知参加现场踏勘、设计交底及协调会议。</w:t>
      </w:r>
    </w:p>
    <w:p w14:paraId="59AE1B6C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（四）中选单位应对设计文件的真实性、合法性、深度及概算配合质量负责。</w:t>
      </w:r>
    </w:p>
    <w:p w14:paraId="29F4A6C5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六、供应商资格要求</w:t>
      </w:r>
    </w:p>
    <w:p w14:paraId="2B21EE1A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（一）具有独立企业法人资格，具有相应经营范围且在有效期内的营业执照；</w:t>
      </w:r>
    </w:p>
    <w:p w14:paraId="19A8EEED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（二）具备建筑行业（建筑工程）设计甲级及以上资质，项目负责人须具备相应的执业资格证书；</w:t>
      </w:r>
    </w:p>
    <w:p w14:paraId="78F9E82E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（三）本项目不接受联合体报名，禁止转包、分包；</w:t>
      </w:r>
    </w:p>
    <w:p w14:paraId="1F274642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（四）单位负责人为同一人或者存在直接控股、管理关系的不同供应商，不得参加同一合同项下的采购活动。</w:t>
      </w:r>
    </w:p>
    <w:p w14:paraId="081B967D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七、商务要求</w:t>
      </w:r>
    </w:p>
    <w:p w14:paraId="299595E4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（一）报价为含税总价包干，包含本项目设计服务全部费用。</w:t>
      </w:r>
    </w:p>
    <w:p w14:paraId="512392EF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（二）付款方式：合同签订后按合同约定支付，设计成果提交并经学校确认、配合完成初步设计及概算评审后付清余款。</w:t>
      </w:r>
    </w:p>
    <w:p w14:paraId="08E40EE0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八、响应文件要求</w:t>
      </w:r>
    </w:p>
    <w:p w14:paraId="404B924B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1. 经年检合格的企业法人营业执照（复印件）、设计资质证书（复印件）、项目负责人一级注册建筑师证书（复印件）；</w:t>
      </w:r>
    </w:p>
    <w:p w14:paraId="1F334FB6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2. 法人代表授权委托书原件，被授权人身份证（复印件）及联系方式；</w:t>
      </w:r>
    </w:p>
    <w:p w14:paraId="56525A9B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3. 响应文件，应包含报价、设计方案、项目组人员配置、近3年类似业绩、业务经验等，报价含税；</w:t>
      </w:r>
    </w:p>
    <w:p w14:paraId="7C7BAF1E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4. 已盖章的电子版响应文件扫描件（U盘）。</w:t>
      </w:r>
    </w:p>
    <w:p w14:paraId="2E5A1B8C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注：1、2项可与响应文件一同装订，响应文件应密封装订。</w:t>
      </w:r>
    </w:p>
    <w:p w14:paraId="429D6CA0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九、评审办法</w:t>
      </w:r>
    </w:p>
    <w:p w14:paraId="60545B62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根据商务报价、设计方案、项目组人员配置、比选单位资质和3年以内类似业绩进行综合比选，总分为100分：</w:t>
      </w:r>
    </w:p>
    <w:p w14:paraId="672DEBE9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（一）商务报价占30分；</w:t>
      </w:r>
    </w:p>
    <w:p w14:paraId="23161980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（二）设计方案、项目组人员配置、比选单位资质、3年以内类似业绩和业务经验等技术指标占70分。</w:t>
      </w:r>
    </w:p>
    <w:p w14:paraId="0996A1ED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商务分评分标准：满足比选文件要求且比选价格最低的比选报价为基准价，其价格分为满分30分；其他比选人的比选报价得分＝（评标基准价／比选报价）×价格权值（30%）×100。</w:t>
      </w:r>
    </w:p>
    <w:p w14:paraId="7E088D4C">
      <w:pPr>
        <w:spacing w:after="80" w:line="360" w:lineRule="auto"/>
      </w:pPr>
      <w:r>
        <w:rPr>
          <w:rFonts w:ascii="Times New Roman" w:hAnsi="Times New Roman" w:eastAsia="黑体"/>
          <w:b/>
          <w:sz w:val="24"/>
        </w:rPr>
        <w:t>十、文件递交与联系方式</w:t>
      </w:r>
    </w:p>
    <w:p w14:paraId="1690951B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（一）比选文件递交地点：上海市松江区文翔路1550号上海外国语大学行政楼327室。</w:t>
      </w:r>
    </w:p>
    <w:p w14:paraId="4FC707C2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（二）联系人及联系方式：基本建设处 龚老师 021-67708047。</w:t>
      </w:r>
    </w:p>
    <w:p w14:paraId="14443EFE">
      <w:pPr>
        <w:spacing w:after="0" w:line="360" w:lineRule="auto"/>
        <w:ind w:firstLine="480"/>
      </w:pPr>
      <w:r>
        <w:rPr>
          <w:rFonts w:ascii="Times New Roman" w:hAnsi="Times New Roman" w:eastAsia="宋体"/>
          <w:b w:val="0"/>
          <w:sz w:val="24"/>
        </w:rPr>
        <w:t>（三）报名及响应文件递交截止时间：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2026</w:t>
      </w:r>
      <w:r>
        <w:rPr>
          <w:rFonts w:ascii="Times New Roman" w:hAnsi="Times New Roman" w:eastAsia="宋体"/>
          <w:b w:val="0"/>
          <w:sz w:val="24"/>
        </w:rPr>
        <w:t>年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10</w:t>
      </w:r>
      <w:r>
        <w:rPr>
          <w:rFonts w:ascii="Times New Roman" w:hAnsi="Times New Roman" w:eastAsia="宋体"/>
          <w:b w:val="0"/>
          <w:sz w:val="24"/>
        </w:rPr>
        <w:t>月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29</w:t>
      </w:r>
      <w:r>
        <w:rPr>
          <w:rFonts w:ascii="Times New Roman" w:hAnsi="Times New Roman" w:eastAsia="宋体"/>
          <w:b w:val="0"/>
          <w:sz w:val="24"/>
        </w:rPr>
        <w:t>日（周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四</w:t>
      </w:r>
      <w:bookmarkStart w:id="0" w:name="_GoBack"/>
      <w:bookmarkEnd w:id="0"/>
      <w:r>
        <w:rPr>
          <w:rFonts w:ascii="Times New Roman" w:hAnsi="Times New Roman" w:eastAsia="宋体"/>
          <w:b w:val="0"/>
          <w:sz w:val="24"/>
        </w:rPr>
        <w:t>）16:30。</w:t>
      </w:r>
    </w:p>
    <w:p w14:paraId="2C336237"/>
    <w:p w14:paraId="3D42A038">
      <w:pPr>
        <w:spacing w:after="0" w:line="360" w:lineRule="auto"/>
        <w:jc w:val="right"/>
      </w:pPr>
      <w:r>
        <w:rPr>
          <w:rFonts w:ascii="Times New Roman" w:hAnsi="Times New Roman" w:eastAsia="宋体"/>
          <w:b w:val="0"/>
          <w:sz w:val="24"/>
        </w:rPr>
        <w:t>上海外国语大学基本建设处</w:t>
      </w:r>
    </w:p>
    <w:p w14:paraId="706D3214">
      <w:pPr>
        <w:spacing w:after="0" w:line="360" w:lineRule="auto"/>
        <w:jc w:val="right"/>
      </w:pP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2026</w:t>
      </w:r>
      <w:r>
        <w:rPr>
          <w:rFonts w:ascii="Times New Roman" w:hAnsi="Times New Roman" w:eastAsia="宋体"/>
          <w:b w:val="0"/>
          <w:sz w:val="24"/>
        </w:rPr>
        <w:t>年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10</w:t>
      </w:r>
      <w:r>
        <w:rPr>
          <w:rFonts w:ascii="Times New Roman" w:hAnsi="Times New Roman" w:eastAsia="宋体"/>
          <w:b w:val="0"/>
          <w:sz w:val="24"/>
        </w:rPr>
        <w:t>月</w:t>
      </w:r>
      <w:r>
        <w:rPr>
          <w:rFonts w:hint="eastAsia" w:ascii="Times New Roman" w:hAnsi="Times New Roman" w:eastAsia="宋体"/>
          <w:b w:val="0"/>
          <w:sz w:val="24"/>
          <w:lang w:val="en-US" w:eastAsia="zh-CN"/>
        </w:rPr>
        <w:t>22</w:t>
      </w:r>
      <w:r>
        <w:rPr>
          <w:rFonts w:ascii="Times New Roman" w:hAnsi="Times New Roman" w:eastAsia="宋体"/>
          <w:b w:val="0"/>
          <w:sz w:val="24"/>
        </w:rPr>
        <w:t>日</w:t>
      </w:r>
    </w:p>
    <w:p w14:paraId="2D3692DF">
      <w:pPr>
        <w:sectPr>
          <w:pgSz w:w="11906" w:h="16838"/>
          <w:pgMar w:top="1417" w:right="1417" w:bottom="1417" w:left="1417" w:header="720" w:footer="720" w:gutter="0"/>
          <w:cols w:space="720" w:num="1"/>
          <w:docGrid w:linePitch="360" w:charSpace="0"/>
        </w:sectPr>
      </w:pPr>
    </w:p>
    <w:p w14:paraId="14F60997">
      <w:pPr>
        <w:spacing w:before="0" w:after="160" w:line="240" w:lineRule="auto"/>
        <w:jc w:val="center"/>
      </w:pPr>
      <w:r>
        <w:rPr>
          <w:rFonts w:ascii="Times New Roman" w:hAnsi="Times New Roman" w:eastAsia="黑体"/>
          <w:b/>
          <w:color w:val="000000"/>
          <w:sz w:val="32"/>
        </w:rPr>
        <w:t>上海外国语大学松江校区第二、第三教学楼修缮改建工程方案配合设计单位比选（配合学校完成初步设计及概算评审）打分表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  <w:left w:w="108" w:type="dxa"/>
          <w:bottom w:w="28" w:type="dxa"/>
          <w:right w:w="108" w:type="dxa"/>
        </w:tblCellMar>
      </w:tblPr>
      <w:tblGrid>
        <w:gridCol w:w="524"/>
        <w:gridCol w:w="2097"/>
        <w:gridCol w:w="1258"/>
        <w:gridCol w:w="1717"/>
        <w:gridCol w:w="1585"/>
        <w:gridCol w:w="1559"/>
        <w:gridCol w:w="2241"/>
        <w:gridCol w:w="1468"/>
        <w:gridCol w:w="1769"/>
        <w:gridCol w:w="917"/>
      </w:tblGrid>
      <w:tr w14:paraId="6D6D8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14" w:type="dxa"/>
            <w:vMerge w:val="restart"/>
            <w:vAlign w:val="center"/>
          </w:tcPr>
          <w:p w14:paraId="1BCE949F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序号</w:t>
            </w:r>
          </w:p>
        </w:tc>
        <w:tc>
          <w:tcPr>
            <w:tcW w:w="1514" w:type="dxa"/>
            <w:vMerge w:val="restart"/>
            <w:vAlign w:val="center"/>
          </w:tcPr>
          <w:p w14:paraId="70A98326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投标单位</w:t>
            </w:r>
          </w:p>
        </w:tc>
        <w:tc>
          <w:tcPr>
            <w:tcW w:w="1514" w:type="dxa"/>
            <w:vMerge w:val="restart"/>
            <w:vAlign w:val="center"/>
          </w:tcPr>
          <w:p w14:paraId="19F61C9F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商务报价</w:t>
            </w:r>
          </w:p>
          <w:p w14:paraId="45400830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（元）</w:t>
            </w:r>
          </w:p>
        </w:tc>
        <w:tc>
          <w:tcPr>
            <w:tcW w:w="7570" w:type="dxa"/>
            <w:gridSpan w:val="5"/>
            <w:vAlign w:val="center"/>
          </w:tcPr>
          <w:p w14:paraId="7F44D7F4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技术部分70分（注：以上各项若有缺项，则该项得“0”分）</w:t>
            </w:r>
          </w:p>
        </w:tc>
        <w:tc>
          <w:tcPr>
            <w:tcW w:w="1514" w:type="dxa"/>
            <w:vMerge w:val="restart"/>
            <w:vAlign w:val="center"/>
          </w:tcPr>
          <w:p w14:paraId="21FFDEDF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商务部分</w:t>
            </w:r>
          </w:p>
          <w:p w14:paraId="7AC8EBC9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价格部分（30分）</w:t>
            </w:r>
          </w:p>
        </w:tc>
        <w:tc>
          <w:tcPr>
            <w:tcW w:w="1514" w:type="dxa"/>
            <w:vMerge w:val="restart"/>
            <w:vAlign w:val="center"/>
          </w:tcPr>
          <w:p w14:paraId="5E8501A9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合计</w:t>
            </w:r>
          </w:p>
        </w:tc>
      </w:tr>
      <w:tr w14:paraId="3FA81D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14" w:type="dxa"/>
            <w:vMerge w:val="continue"/>
          </w:tcPr>
          <w:p w14:paraId="74232F1C"/>
        </w:tc>
        <w:tc>
          <w:tcPr>
            <w:tcW w:w="1514" w:type="dxa"/>
            <w:vMerge w:val="continue"/>
          </w:tcPr>
          <w:p w14:paraId="2DB46826"/>
        </w:tc>
        <w:tc>
          <w:tcPr>
            <w:tcW w:w="1514" w:type="dxa"/>
            <w:vMerge w:val="continue"/>
          </w:tcPr>
          <w:p w14:paraId="7D6455C2"/>
        </w:tc>
        <w:tc>
          <w:tcPr>
            <w:tcW w:w="1514" w:type="dxa"/>
            <w:vAlign w:val="center"/>
          </w:tcPr>
          <w:p w14:paraId="7D6E25E2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公司业绩资质</w:t>
            </w:r>
          </w:p>
          <w:p w14:paraId="1ECB8AD9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（0-10分）</w:t>
            </w:r>
          </w:p>
        </w:tc>
        <w:tc>
          <w:tcPr>
            <w:tcW w:w="1514" w:type="dxa"/>
            <w:vAlign w:val="center"/>
          </w:tcPr>
          <w:p w14:paraId="49880213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项目团队配置</w:t>
            </w:r>
          </w:p>
          <w:p w14:paraId="70A761F7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（0-15分）</w:t>
            </w:r>
          </w:p>
        </w:tc>
        <w:tc>
          <w:tcPr>
            <w:tcW w:w="1514" w:type="dxa"/>
            <w:vAlign w:val="center"/>
          </w:tcPr>
          <w:p w14:paraId="1C318343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响应文件编制</w:t>
            </w:r>
          </w:p>
          <w:p w14:paraId="7D18BCAE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（0-5分）</w:t>
            </w:r>
          </w:p>
        </w:tc>
        <w:tc>
          <w:tcPr>
            <w:tcW w:w="1514" w:type="dxa"/>
            <w:vAlign w:val="center"/>
          </w:tcPr>
          <w:p w14:paraId="58321BF1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设计方案及工作大纲</w:t>
            </w:r>
          </w:p>
          <w:p w14:paraId="15FD07F3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（0-30分）</w:t>
            </w:r>
          </w:p>
        </w:tc>
        <w:tc>
          <w:tcPr>
            <w:tcW w:w="1514" w:type="dxa"/>
            <w:vAlign w:val="center"/>
          </w:tcPr>
          <w:p w14:paraId="0F4B2E48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服务能力</w:t>
            </w:r>
          </w:p>
          <w:p w14:paraId="541A2DFD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（0-10分）</w:t>
            </w:r>
          </w:p>
        </w:tc>
        <w:tc>
          <w:tcPr>
            <w:tcW w:w="1514" w:type="dxa"/>
            <w:vMerge w:val="continue"/>
          </w:tcPr>
          <w:p w14:paraId="1272759D"/>
        </w:tc>
        <w:tc>
          <w:tcPr>
            <w:tcW w:w="1514" w:type="dxa"/>
            <w:vMerge w:val="continue"/>
          </w:tcPr>
          <w:p w14:paraId="65C2822F"/>
        </w:tc>
      </w:tr>
      <w:tr w14:paraId="760BD6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14" w:type="dxa"/>
            <w:vMerge w:val="continue"/>
          </w:tcPr>
          <w:p w14:paraId="3148CF89"/>
        </w:tc>
        <w:tc>
          <w:tcPr>
            <w:tcW w:w="1514" w:type="dxa"/>
            <w:vMerge w:val="continue"/>
          </w:tcPr>
          <w:p w14:paraId="6DAE5E25"/>
        </w:tc>
        <w:tc>
          <w:tcPr>
            <w:tcW w:w="1514" w:type="dxa"/>
            <w:vMerge w:val="continue"/>
          </w:tcPr>
          <w:p w14:paraId="2EEAFCC6"/>
        </w:tc>
        <w:tc>
          <w:tcPr>
            <w:tcW w:w="1514" w:type="dxa"/>
            <w:vAlign w:val="center"/>
          </w:tcPr>
          <w:p w14:paraId="7C9FE0F5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近3年每提供1项类似教育建筑或校园修缮改造设计业绩得1分，上限6分（须附合同或中标通知书复印件）；</w:t>
            </w:r>
          </w:p>
          <w:p w14:paraId="4A47D1F6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设计资质等级满足比选文件要求得4分。</w:t>
            </w:r>
          </w:p>
        </w:tc>
        <w:tc>
          <w:tcPr>
            <w:tcW w:w="1514" w:type="dxa"/>
            <w:vAlign w:val="center"/>
          </w:tcPr>
          <w:p w14:paraId="213FFF41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项目负责人具备相应执业资格且具有类似工程设计经验得6分；</w:t>
            </w:r>
          </w:p>
          <w:p w14:paraId="561451DC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建筑、结构、给排水、暖通、电气各专业负责人配置齐全，以所有有效投标人中配置最齐全者为基准得满分9分，其他投标人每缺1个专业扣1分，最低得0分。</w:t>
            </w:r>
          </w:p>
        </w:tc>
        <w:tc>
          <w:tcPr>
            <w:tcW w:w="1514" w:type="dxa"/>
            <w:vAlign w:val="center"/>
          </w:tcPr>
          <w:p w14:paraId="166A7BE0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装订牢固、目录清晰、逐页编码完整无缺失得2分，存在一项不达标扣1分；</w:t>
            </w:r>
          </w:p>
          <w:p w14:paraId="775357BE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响应比选文件要求，资料齐全、表格规范、数据准确得2分，资料缺失1项扣1分；</w:t>
            </w:r>
          </w:p>
          <w:p w14:paraId="76DB238E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 文件逻辑清晰、表述严谨、无歧义得1分。</w:t>
            </w:r>
          </w:p>
        </w:tc>
        <w:tc>
          <w:tcPr>
            <w:tcW w:w="1514" w:type="dxa"/>
            <w:vAlign w:val="center"/>
          </w:tcPr>
          <w:p w14:paraId="6FF732A5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对项目现状与使用需求理解准确，设计思路契合学校办学与修缮改造定位得0-6分；</w:t>
            </w:r>
          </w:p>
          <w:p w14:paraId="562479C9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方案设计构想合理、功能布局清晰、满足修缮改造与使用要求得0-8分；</w:t>
            </w:r>
          </w:p>
          <w:p w14:paraId="29BF6FF6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 各专业设计组织与限额设计、概算配合措施完善得0-6分；</w:t>
            </w:r>
          </w:p>
          <w:p w14:paraId="5F66D3C2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4. 配合学校完成初步设计及概算评审的工作安排与响应时限得0-10分。</w:t>
            </w:r>
          </w:p>
        </w:tc>
        <w:tc>
          <w:tcPr>
            <w:tcW w:w="1514" w:type="dxa"/>
            <w:vAlign w:val="center"/>
          </w:tcPr>
          <w:p w14:paraId="6185DC4D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1. 现场踏勘及项目现状调研服务得0-3分；</w:t>
            </w:r>
          </w:p>
          <w:p w14:paraId="2A949D9D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 项目沟通机制与响应时效得0-3分；</w:t>
            </w:r>
          </w:p>
          <w:p w14:paraId="760EC411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3. 服务承诺具体可落地得0-4分，承诺模糊酌情扣分。</w:t>
            </w:r>
          </w:p>
        </w:tc>
        <w:tc>
          <w:tcPr>
            <w:tcW w:w="1514" w:type="dxa"/>
            <w:vAlign w:val="center"/>
          </w:tcPr>
          <w:p w14:paraId="540BCDD2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综合评分法中的价格统一采用低价优先计算，即满足比选文件规定且报价最低的报价作为评标基准价，其价格分为满分。</w:t>
            </w:r>
          </w:p>
          <w:p w14:paraId="5E00B3BE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其他投标人价格分按下列公式计算：</w:t>
            </w:r>
          </w:p>
          <w:p w14:paraId="16D31F5D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报价得分＝（评标基准价／投标报价）×30%×100</w:t>
            </w:r>
          </w:p>
        </w:tc>
        <w:tc>
          <w:tcPr>
            <w:tcW w:w="1514" w:type="dxa"/>
            <w:vMerge w:val="continue"/>
          </w:tcPr>
          <w:p w14:paraId="2F6ED537"/>
        </w:tc>
      </w:tr>
      <w:tr w14:paraId="04A51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1514" w:type="dxa"/>
            <w:vMerge w:val="continue"/>
          </w:tcPr>
          <w:p w14:paraId="66410CEC"/>
        </w:tc>
        <w:tc>
          <w:tcPr>
            <w:tcW w:w="1514" w:type="dxa"/>
            <w:vMerge w:val="continue"/>
          </w:tcPr>
          <w:p w14:paraId="526861EB"/>
        </w:tc>
        <w:tc>
          <w:tcPr>
            <w:tcW w:w="1514" w:type="dxa"/>
            <w:vMerge w:val="continue"/>
          </w:tcPr>
          <w:p w14:paraId="2AB2FBB2"/>
        </w:tc>
        <w:tc>
          <w:tcPr>
            <w:tcW w:w="1514" w:type="dxa"/>
            <w:vAlign w:val="center"/>
          </w:tcPr>
          <w:p w14:paraId="3B2C8291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0-10分</w:t>
            </w:r>
          </w:p>
        </w:tc>
        <w:tc>
          <w:tcPr>
            <w:tcW w:w="1514" w:type="dxa"/>
            <w:vAlign w:val="center"/>
          </w:tcPr>
          <w:p w14:paraId="560B0D5E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0-15分</w:t>
            </w:r>
          </w:p>
        </w:tc>
        <w:tc>
          <w:tcPr>
            <w:tcW w:w="1514" w:type="dxa"/>
            <w:vAlign w:val="center"/>
          </w:tcPr>
          <w:p w14:paraId="40A3C11A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0-5分</w:t>
            </w:r>
          </w:p>
        </w:tc>
        <w:tc>
          <w:tcPr>
            <w:tcW w:w="1514" w:type="dxa"/>
            <w:vAlign w:val="center"/>
          </w:tcPr>
          <w:p w14:paraId="094D108F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0-30分</w:t>
            </w:r>
          </w:p>
        </w:tc>
        <w:tc>
          <w:tcPr>
            <w:tcW w:w="1514" w:type="dxa"/>
            <w:vAlign w:val="center"/>
          </w:tcPr>
          <w:p w14:paraId="1AE1340E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0-10分</w:t>
            </w:r>
          </w:p>
        </w:tc>
        <w:tc>
          <w:tcPr>
            <w:tcW w:w="1514" w:type="dxa"/>
            <w:vAlign w:val="center"/>
          </w:tcPr>
          <w:p w14:paraId="0FCC9160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0-30分</w:t>
            </w:r>
          </w:p>
        </w:tc>
        <w:tc>
          <w:tcPr>
            <w:tcW w:w="1514" w:type="dxa"/>
            <w:vMerge w:val="continue"/>
          </w:tcPr>
          <w:p w14:paraId="1EE8B58E"/>
        </w:tc>
      </w:tr>
      <w:tr w14:paraId="6E4EF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jc w:val="center"/>
        </w:trPr>
        <w:tc>
          <w:tcPr>
            <w:tcW w:w="1514" w:type="dxa"/>
            <w:vAlign w:val="center"/>
          </w:tcPr>
          <w:p w14:paraId="314445B3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w="1514" w:type="dxa"/>
          </w:tcPr>
          <w:p w14:paraId="38312773"/>
        </w:tc>
        <w:tc>
          <w:tcPr>
            <w:tcW w:w="1514" w:type="dxa"/>
          </w:tcPr>
          <w:p w14:paraId="1AC1001A"/>
        </w:tc>
        <w:tc>
          <w:tcPr>
            <w:tcW w:w="1514" w:type="dxa"/>
          </w:tcPr>
          <w:p w14:paraId="3AFF48C8"/>
        </w:tc>
        <w:tc>
          <w:tcPr>
            <w:tcW w:w="1514" w:type="dxa"/>
          </w:tcPr>
          <w:p w14:paraId="3711FB96"/>
        </w:tc>
        <w:tc>
          <w:tcPr>
            <w:tcW w:w="1514" w:type="dxa"/>
          </w:tcPr>
          <w:p w14:paraId="084C4457"/>
        </w:tc>
        <w:tc>
          <w:tcPr>
            <w:tcW w:w="1514" w:type="dxa"/>
          </w:tcPr>
          <w:p w14:paraId="5C94C7BD"/>
        </w:tc>
        <w:tc>
          <w:tcPr>
            <w:tcW w:w="1514" w:type="dxa"/>
          </w:tcPr>
          <w:p w14:paraId="40C1C181"/>
        </w:tc>
        <w:tc>
          <w:tcPr>
            <w:tcW w:w="1514" w:type="dxa"/>
          </w:tcPr>
          <w:p w14:paraId="5E389B58"/>
        </w:tc>
        <w:tc>
          <w:tcPr>
            <w:tcW w:w="1514" w:type="dxa"/>
          </w:tcPr>
          <w:p w14:paraId="024533A4"/>
        </w:tc>
      </w:tr>
      <w:tr w14:paraId="5D9B4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jc w:val="center"/>
        </w:trPr>
        <w:tc>
          <w:tcPr>
            <w:tcW w:w="1514" w:type="dxa"/>
            <w:vAlign w:val="center"/>
          </w:tcPr>
          <w:p w14:paraId="11E631D7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w="1514" w:type="dxa"/>
          </w:tcPr>
          <w:p w14:paraId="58C9B338"/>
        </w:tc>
        <w:tc>
          <w:tcPr>
            <w:tcW w:w="1514" w:type="dxa"/>
          </w:tcPr>
          <w:p w14:paraId="090D49CE"/>
        </w:tc>
        <w:tc>
          <w:tcPr>
            <w:tcW w:w="1514" w:type="dxa"/>
          </w:tcPr>
          <w:p w14:paraId="0BDEA4CF"/>
        </w:tc>
        <w:tc>
          <w:tcPr>
            <w:tcW w:w="1514" w:type="dxa"/>
          </w:tcPr>
          <w:p w14:paraId="1959FD9D"/>
        </w:tc>
        <w:tc>
          <w:tcPr>
            <w:tcW w:w="1514" w:type="dxa"/>
          </w:tcPr>
          <w:p w14:paraId="4F86578C"/>
        </w:tc>
        <w:tc>
          <w:tcPr>
            <w:tcW w:w="1514" w:type="dxa"/>
          </w:tcPr>
          <w:p w14:paraId="544DF4B4"/>
        </w:tc>
        <w:tc>
          <w:tcPr>
            <w:tcW w:w="1514" w:type="dxa"/>
          </w:tcPr>
          <w:p w14:paraId="03331838"/>
        </w:tc>
        <w:tc>
          <w:tcPr>
            <w:tcW w:w="1514" w:type="dxa"/>
          </w:tcPr>
          <w:p w14:paraId="1A293596"/>
        </w:tc>
        <w:tc>
          <w:tcPr>
            <w:tcW w:w="1514" w:type="dxa"/>
          </w:tcPr>
          <w:p w14:paraId="14A31CC5"/>
        </w:tc>
      </w:tr>
      <w:tr w14:paraId="2AAE8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jc w:val="center"/>
        </w:trPr>
        <w:tc>
          <w:tcPr>
            <w:tcW w:w="1514" w:type="dxa"/>
            <w:vAlign w:val="center"/>
          </w:tcPr>
          <w:p w14:paraId="4C79E936">
            <w:pPr>
              <w:spacing w:before="0" w:after="0" w:line="220" w:lineRule="exact"/>
              <w:ind w:left="0" w:firstLine="0"/>
              <w:jc w:val="center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w="1514" w:type="dxa"/>
          </w:tcPr>
          <w:p w14:paraId="71D22255"/>
        </w:tc>
        <w:tc>
          <w:tcPr>
            <w:tcW w:w="1514" w:type="dxa"/>
          </w:tcPr>
          <w:p w14:paraId="397120E8"/>
        </w:tc>
        <w:tc>
          <w:tcPr>
            <w:tcW w:w="1514" w:type="dxa"/>
          </w:tcPr>
          <w:p w14:paraId="45BD69F3"/>
        </w:tc>
        <w:tc>
          <w:tcPr>
            <w:tcW w:w="1514" w:type="dxa"/>
          </w:tcPr>
          <w:p w14:paraId="09492868"/>
        </w:tc>
        <w:tc>
          <w:tcPr>
            <w:tcW w:w="1514" w:type="dxa"/>
          </w:tcPr>
          <w:p w14:paraId="79638A15"/>
        </w:tc>
        <w:tc>
          <w:tcPr>
            <w:tcW w:w="1514" w:type="dxa"/>
          </w:tcPr>
          <w:p w14:paraId="5A23CA6F"/>
        </w:tc>
        <w:tc>
          <w:tcPr>
            <w:tcW w:w="1514" w:type="dxa"/>
          </w:tcPr>
          <w:p w14:paraId="2F7C6695"/>
        </w:tc>
        <w:tc>
          <w:tcPr>
            <w:tcW w:w="1514" w:type="dxa"/>
          </w:tcPr>
          <w:p w14:paraId="7BAD4D42"/>
        </w:tc>
        <w:tc>
          <w:tcPr>
            <w:tcW w:w="1514" w:type="dxa"/>
          </w:tcPr>
          <w:p w14:paraId="5CCB6B7C"/>
        </w:tc>
      </w:tr>
      <w:tr w14:paraId="1BFB0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108" w:type="dxa"/>
            <w:bottom w:w="28" w:type="dxa"/>
            <w:right w:w="108" w:type="dxa"/>
          </w:tblCellMar>
        </w:tblPrEx>
        <w:trPr>
          <w:cantSplit/>
          <w:jc w:val="center"/>
        </w:trPr>
        <w:tc>
          <w:tcPr>
            <w:tcW w:w="15140" w:type="dxa"/>
            <w:gridSpan w:val="10"/>
            <w:vAlign w:val="center"/>
          </w:tcPr>
          <w:p w14:paraId="5D4AA7DF">
            <w:pPr>
              <w:spacing w:before="0" w:after="0" w:line="220" w:lineRule="exact"/>
              <w:ind w:left="0" w:firstLine="0"/>
              <w:jc w:val="left"/>
            </w:pP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评委签名：</w:t>
            </w:r>
          </w:p>
        </w:tc>
      </w:tr>
    </w:tbl>
    <w:p w14:paraId="59974527"/>
    <w:sectPr>
      <w:pgSz w:w="16838" w:h="11906" w:orient="landscape"/>
      <w:pgMar w:top="850" w:right="850" w:bottom="850" w:left="85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7586BB0"/>
    <w:rsid w:val="2E21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2306</Words>
  <Characters>2421</Characters>
  <Lines>0</Lines>
  <Paragraphs>0</Paragraphs>
  <TotalTime>0</TotalTime>
  <ScaleCrop>false</ScaleCrop>
  <LinksUpToDate>false</LinksUpToDate>
  <CharactersWithSpaces>2448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吴珉玥</cp:lastModifiedBy>
  <dcterms:modified xsi:type="dcterms:W3CDTF">2026-10-22T07:56:51Z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eyJoZGlkIjoiMDM1YzcxZjNjZDJkN2FkM2JmZGJjZTc2MzE0MjUzOTkiLCJ1c2VySWQiOiIxMTUxMTMwMzQwIn0=</vt:lpwstr>
  </property>
  <property fmtid="{D5CDD505-2E9C-101B-9397-08002B2CF9AE}" pid="3" name="KSOProductBuildVer">
    <vt:lpwstr>2052-12.1.0.29161</vt:lpwstr>
  </property>
  <property fmtid="{D5CDD505-2E9C-101B-9397-08002B2CF9AE}" pid="4" name="ICV">
    <vt:lpwstr>672D5467CB174FCEA8A45AE4CCCCCE49_12</vt:lpwstr>
  </property>
</Properties>
</file>