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39B4C">
      <w:pPr>
        <w:keepNext w:val="0"/>
        <w:keepLines w:val="0"/>
        <w:widowControl/>
        <w:suppressLineNumbers w:val="0"/>
        <w:jc w:val="center"/>
        <w:rPr>
          <w:rFonts w:hint="default" w:ascii="宋体" w:hAnsi="宋体" w:eastAsia="宋体" w:cs="宋体"/>
          <w:b/>
          <w:bCs/>
          <w:kern w:val="0"/>
          <w:sz w:val="32"/>
          <w:szCs w:val="32"/>
          <w:lang w:val="en-US" w:eastAsia="zh-CN" w:bidi="ar"/>
        </w:rPr>
      </w:pPr>
      <w:r>
        <w:rPr>
          <w:rFonts w:hint="default" w:ascii="宋体" w:hAnsi="宋体" w:eastAsia="宋体" w:cs="宋体"/>
          <w:b/>
          <w:bCs/>
          <w:kern w:val="0"/>
          <w:sz w:val="32"/>
          <w:szCs w:val="32"/>
          <w:lang w:val="en-US" w:eastAsia="zh-CN" w:bidi="ar"/>
        </w:rPr>
        <w:t>上海外国语大学2026年开学典礼会场搭建项目</w:t>
      </w:r>
    </w:p>
    <w:p w14:paraId="54BFFCC7">
      <w:pPr>
        <w:keepNext w:val="0"/>
        <w:keepLines w:val="0"/>
        <w:widowControl/>
        <w:suppressLineNumbers w:val="0"/>
        <w:jc w:val="center"/>
        <w:rPr>
          <w:rFonts w:hint="default" w:ascii="宋体" w:hAnsi="宋体" w:eastAsia="宋体" w:cs="宋体"/>
          <w:b/>
          <w:bCs/>
          <w:kern w:val="0"/>
          <w:sz w:val="32"/>
          <w:szCs w:val="32"/>
          <w:lang w:val="en-US" w:eastAsia="zh-CN" w:bidi="ar"/>
        </w:rPr>
      </w:pPr>
      <w:r>
        <w:rPr>
          <w:rFonts w:hint="default" w:ascii="宋体" w:hAnsi="宋体" w:eastAsia="宋体" w:cs="宋体"/>
          <w:b/>
          <w:bCs/>
          <w:kern w:val="0"/>
          <w:sz w:val="32"/>
          <w:szCs w:val="32"/>
          <w:lang w:val="en-US" w:eastAsia="zh-CN" w:bidi="ar"/>
        </w:rPr>
        <w:t>采购需求文件</w:t>
      </w:r>
    </w:p>
    <w:p w14:paraId="023535E5">
      <w:pPr>
        <w:keepNext w:val="0"/>
        <w:keepLines w:val="0"/>
        <w:widowControl/>
        <w:suppressLineNumbers w:val="0"/>
        <w:jc w:val="both"/>
        <w:rPr>
          <w:rFonts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一、采购部门基本情况</w:t>
      </w:r>
    </w:p>
    <w:tbl>
      <w:tblPr>
        <w:tblStyle w:val="4"/>
        <w:tblW w:w="0" w:type="auto"/>
        <w:tblCellSpacing w:w="15" w:type="dxa"/>
        <w:tblInd w:w="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45"/>
        <w:gridCol w:w="2950"/>
        <w:gridCol w:w="1270"/>
        <w:gridCol w:w="1555"/>
      </w:tblGrid>
      <w:tr w14:paraId="31E7D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Borders>
              <w:top w:val="single" w:color="auto" w:sz="12" w:space="0"/>
              <w:left w:val="single" w:color="auto" w:sz="12" w:space="0"/>
              <w:bottom w:val="nil"/>
              <w:right w:val="nil"/>
            </w:tcBorders>
            <w:shd w:val="clear" w:color="auto" w:fill="auto"/>
            <w:noWrap w:val="0"/>
            <w:tcMar>
              <w:top w:w="-1" w:type="dxa"/>
              <w:left w:w="-1" w:type="dxa"/>
              <w:bottom w:w="-1" w:type="dxa"/>
              <w:right w:w="-1" w:type="dxa"/>
            </w:tcMar>
            <w:vAlign w:val="center"/>
          </w:tcPr>
          <w:p w14:paraId="2EAE77E6">
            <w:pPr>
              <w:keepNext w:val="0"/>
              <w:keepLines w:val="0"/>
              <w:widowControl/>
              <w:suppressLineNumbers w:val="0"/>
              <w:jc w:val="both"/>
              <w:rPr>
                <w:b/>
                <w:bCs/>
              </w:rPr>
            </w:pPr>
            <w:r>
              <w:rPr>
                <w:rFonts w:ascii="宋体" w:hAnsi="宋体" w:eastAsia="宋体" w:cs="宋体"/>
                <w:b w:val="0"/>
                <w:bCs w:val="0"/>
                <w:kern w:val="0"/>
                <w:sz w:val="24"/>
                <w:szCs w:val="24"/>
                <w:lang w:val="en-US" w:eastAsia="zh-CN" w:bidi="ar"/>
              </w:rPr>
              <w:t>采购部门名称</w:t>
            </w:r>
          </w:p>
        </w:tc>
        <w:tc>
          <w:tcPr>
            <w:tcBorders>
              <w:top w:val="single" w:color="auto" w:sz="12" w:space="0"/>
              <w:left w:val="single" w:color="auto" w:sz="4" w:space="0"/>
              <w:bottom w:val="nil"/>
              <w:right w:val="nil"/>
            </w:tcBorders>
            <w:shd w:val="clear" w:color="auto" w:fill="auto"/>
            <w:noWrap w:val="0"/>
            <w:tcMar>
              <w:top w:w="-1" w:type="dxa"/>
              <w:left w:w="-1" w:type="dxa"/>
              <w:bottom w:w="-1" w:type="dxa"/>
              <w:right w:w="-1" w:type="dxa"/>
            </w:tcMar>
            <w:vAlign w:val="center"/>
          </w:tcPr>
          <w:p w14:paraId="1A08F59C">
            <w:pPr>
              <w:keepNext w:val="0"/>
              <w:keepLines w:val="0"/>
              <w:widowControl/>
              <w:suppressLineNumbers w:val="0"/>
              <w:jc w:val="center"/>
              <w:rPr>
                <w:b/>
                <w:bCs/>
              </w:rPr>
            </w:pPr>
            <w:r>
              <w:rPr>
                <w:rFonts w:ascii="宋体" w:hAnsi="宋体" w:eastAsia="宋体" w:cs="宋体"/>
                <w:b w:val="0"/>
                <w:bCs w:val="0"/>
                <w:kern w:val="0"/>
                <w:sz w:val="24"/>
                <w:szCs w:val="24"/>
                <w:lang w:val="en-US" w:eastAsia="zh-CN" w:bidi="ar"/>
              </w:rPr>
              <w:t>学生工作部（处）</w:t>
            </w:r>
          </w:p>
        </w:tc>
        <w:tc>
          <w:tcPr>
            <w:tcBorders>
              <w:top w:val="single" w:color="auto" w:sz="12" w:space="0"/>
              <w:left w:val="single" w:color="auto" w:sz="4" w:space="0"/>
              <w:bottom w:val="nil"/>
              <w:right w:val="nil"/>
            </w:tcBorders>
            <w:shd w:val="clear" w:color="auto" w:fill="auto"/>
            <w:noWrap w:val="0"/>
            <w:tcMar>
              <w:top w:w="-1" w:type="dxa"/>
              <w:left w:w="-1" w:type="dxa"/>
              <w:bottom w:w="-1" w:type="dxa"/>
              <w:right w:w="-1" w:type="dxa"/>
            </w:tcMar>
            <w:vAlign w:val="center"/>
          </w:tcPr>
          <w:p w14:paraId="2B9BEB01">
            <w:pPr>
              <w:keepNext w:val="0"/>
              <w:keepLines w:val="0"/>
              <w:widowControl/>
              <w:suppressLineNumbers w:val="0"/>
              <w:jc w:val="center"/>
              <w:rPr>
                <w:b/>
                <w:bCs/>
              </w:rPr>
            </w:pPr>
            <w:r>
              <w:rPr>
                <w:rFonts w:ascii="宋体" w:hAnsi="宋体" w:eastAsia="宋体" w:cs="宋体"/>
                <w:b w:val="0"/>
                <w:bCs w:val="0"/>
                <w:kern w:val="0"/>
                <w:sz w:val="24"/>
                <w:szCs w:val="24"/>
                <w:lang w:val="en-US" w:eastAsia="zh-CN" w:bidi="ar"/>
              </w:rPr>
              <w:t>项目</w:t>
            </w:r>
            <w:r>
              <w:rPr>
                <w:rFonts w:hint="eastAsia" w:ascii="宋体" w:hAnsi="宋体" w:eastAsia="宋体" w:cs="宋体"/>
                <w:b w:val="0"/>
                <w:bCs w:val="0"/>
                <w:kern w:val="0"/>
                <w:sz w:val="24"/>
                <w:szCs w:val="24"/>
                <w:lang w:val="en-US" w:eastAsia="zh-CN" w:bidi="ar"/>
              </w:rPr>
              <w:t>联系</w:t>
            </w:r>
            <w:r>
              <w:rPr>
                <w:rFonts w:ascii="宋体" w:hAnsi="宋体" w:eastAsia="宋体" w:cs="宋体"/>
                <w:b w:val="0"/>
                <w:bCs w:val="0"/>
                <w:kern w:val="0"/>
                <w:sz w:val="24"/>
                <w:szCs w:val="24"/>
                <w:lang w:val="en-US" w:eastAsia="zh-CN" w:bidi="ar"/>
              </w:rPr>
              <w:t>人</w:t>
            </w:r>
          </w:p>
        </w:tc>
        <w:tc>
          <w:tcPr>
            <w:tcBorders>
              <w:top w:val="single" w:color="auto" w:sz="12"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7C1CF59">
            <w:pPr>
              <w:keepNext w:val="0"/>
              <w:keepLines w:val="0"/>
              <w:widowControl/>
              <w:suppressLineNumbers w:val="0"/>
              <w:jc w:val="center"/>
              <w:rPr>
                <w:rFonts w:hint="default" w:eastAsiaTheme="minorEastAsia"/>
                <w:b/>
                <w:bCs/>
                <w:lang w:val="en-US" w:eastAsia="zh-CN"/>
              </w:rPr>
            </w:pPr>
            <w:r>
              <w:rPr>
                <w:rFonts w:hint="eastAsia"/>
                <w:b w:val="0"/>
                <w:bCs w:val="0"/>
                <w:sz w:val="22"/>
                <w:szCs w:val="28"/>
                <w:lang w:val="en-US" w:eastAsia="zh-CN"/>
              </w:rPr>
              <w:t>廖老师</w:t>
            </w:r>
          </w:p>
        </w:tc>
      </w:tr>
      <w:tr w14:paraId="4CFCE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Borders>
              <w:top w:val="single" w:color="auto" w:sz="4" w:space="0"/>
              <w:left w:val="single" w:color="auto" w:sz="12" w:space="0"/>
              <w:bottom w:val="single" w:color="auto" w:sz="12" w:space="0"/>
              <w:right w:val="nil"/>
            </w:tcBorders>
            <w:shd w:val="clear" w:color="auto" w:fill="auto"/>
            <w:noWrap w:val="0"/>
            <w:tcMar>
              <w:top w:w="-1" w:type="dxa"/>
              <w:left w:w="-1" w:type="dxa"/>
              <w:bottom w:w="-1" w:type="dxa"/>
              <w:right w:w="-1" w:type="dxa"/>
            </w:tcMar>
            <w:vAlign w:val="center"/>
          </w:tcPr>
          <w:p w14:paraId="7209EFEC">
            <w:pPr>
              <w:keepNext w:val="0"/>
              <w:keepLines w:val="0"/>
              <w:widowControl/>
              <w:suppressLineNumbers w:val="0"/>
              <w:jc w:val="left"/>
            </w:pPr>
            <w:r>
              <w:rPr>
                <w:rFonts w:ascii="宋体" w:hAnsi="宋体" w:eastAsia="宋体" w:cs="宋体"/>
                <w:kern w:val="0"/>
                <w:sz w:val="24"/>
                <w:szCs w:val="24"/>
                <w:lang w:val="en-US" w:eastAsia="zh-CN" w:bidi="ar"/>
              </w:rPr>
              <w:t>办公地点</w:t>
            </w:r>
          </w:p>
        </w:tc>
        <w:tc>
          <w:tcPr>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57E844FD">
            <w:pPr>
              <w:keepNext w:val="0"/>
              <w:keepLines w:val="0"/>
              <w:widowControl/>
              <w:suppressLineNumbers w:val="0"/>
              <w:jc w:val="left"/>
            </w:pPr>
            <w:r>
              <w:rPr>
                <w:rFonts w:ascii="宋体" w:hAnsi="宋体" w:eastAsia="宋体" w:cs="宋体"/>
                <w:kern w:val="0"/>
                <w:sz w:val="24"/>
                <w:szCs w:val="24"/>
                <w:lang w:val="en-US" w:eastAsia="zh-CN" w:bidi="ar"/>
              </w:rPr>
              <w:t>上外松江校区师生活动中心</w:t>
            </w:r>
          </w:p>
        </w:tc>
        <w:tc>
          <w:tcPr>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7F781F70">
            <w:pPr>
              <w:keepNext w:val="0"/>
              <w:keepLines w:val="0"/>
              <w:widowControl/>
              <w:suppressLineNumbers w:val="0"/>
              <w:jc w:val="left"/>
            </w:pPr>
            <w:r>
              <w:rPr>
                <w:rFonts w:ascii="宋体" w:hAnsi="宋体" w:eastAsia="宋体" w:cs="宋体"/>
                <w:kern w:val="0"/>
                <w:sz w:val="24"/>
                <w:szCs w:val="24"/>
                <w:lang w:val="en-US" w:eastAsia="zh-CN" w:bidi="ar"/>
              </w:rPr>
              <w:t>联系方式</w:t>
            </w:r>
          </w:p>
        </w:tc>
        <w:tc>
          <w:tcPr>
            <w:tcBorders>
              <w:top w:val="single" w:color="auto" w:sz="4" w:space="0"/>
              <w:left w:val="single" w:color="auto" w:sz="4" w:space="0"/>
              <w:bottom w:val="single" w:color="auto" w:sz="12" w:space="0"/>
              <w:right w:val="single" w:color="auto" w:sz="12" w:space="0"/>
            </w:tcBorders>
            <w:shd w:val="clear" w:color="auto" w:fill="auto"/>
            <w:noWrap w:val="0"/>
            <w:tcMar>
              <w:top w:w="-1" w:type="dxa"/>
              <w:left w:w="-1" w:type="dxa"/>
              <w:bottom w:w="-1" w:type="dxa"/>
              <w:right w:w="-1" w:type="dxa"/>
            </w:tcMar>
            <w:vAlign w:val="center"/>
          </w:tcPr>
          <w:p w14:paraId="53C8E334">
            <w:pPr>
              <w:keepNext w:val="0"/>
              <w:keepLines w:val="0"/>
              <w:widowControl/>
              <w:suppressLineNumbers w:val="0"/>
              <w:jc w:val="left"/>
            </w:pPr>
            <w:r>
              <w:rPr>
                <w:rFonts w:ascii="宋体" w:hAnsi="宋体" w:eastAsia="宋体" w:cs="宋体"/>
                <w:kern w:val="0"/>
                <w:sz w:val="24"/>
                <w:szCs w:val="24"/>
                <w:lang w:val="en-US" w:eastAsia="zh-CN" w:bidi="ar"/>
              </w:rPr>
              <w:t>021-67701501</w:t>
            </w:r>
          </w:p>
        </w:tc>
      </w:tr>
    </w:tbl>
    <w:p w14:paraId="374AB6C7">
      <w:pPr>
        <w:rPr>
          <w:rFonts w:hint="eastAsia"/>
          <w:b/>
          <w:bCs/>
          <w:sz w:val="24"/>
          <w:szCs w:val="32"/>
        </w:rPr>
      </w:pPr>
    </w:p>
    <w:p w14:paraId="239A8EC1">
      <w:pPr>
        <w:rPr>
          <w:b/>
          <w:bCs/>
          <w:sz w:val="24"/>
          <w:szCs w:val="32"/>
        </w:rPr>
      </w:pPr>
      <w:r>
        <w:rPr>
          <w:rFonts w:hint="eastAsia"/>
          <w:b/>
          <w:bCs/>
          <w:sz w:val="24"/>
          <w:szCs w:val="32"/>
        </w:rPr>
        <w:t>二、采购项目基本情况</w:t>
      </w:r>
    </w:p>
    <w:tbl>
      <w:tblPr>
        <w:tblStyle w:val="4"/>
        <w:tblW w:w="0" w:type="auto"/>
        <w:tblCellSpacing w:w="15" w:type="dxa"/>
        <w:tblInd w:w="1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3"/>
        <w:gridCol w:w="7813"/>
      </w:tblGrid>
      <w:tr w14:paraId="36ADC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Borders>
              <w:top w:val="single" w:color="auto" w:sz="12" w:space="0"/>
              <w:left w:val="single" w:color="auto" w:sz="12" w:space="0"/>
              <w:bottom w:val="nil"/>
              <w:right w:val="nil"/>
            </w:tcBorders>
            <w:shd w:val="clear" w:color="auto" w:fill="auto"/>
            <w:noWrap w:val="0"/>
            <w:tcMar>
              <w:top w:w="-1" w:type="dxa"/>
              <w:left w:w="-1" w:type="dxa"/>
              <w:bottom w:w="-1" w:type="dxa"/>
              <w:right w:w="-1" w:type="dxa"/>
            </w:tcMar>
            <w:vAlign w:val="center"/>
          </w:tcPr>
          <w:p w14:paraId="0D14F39E">
            <w:pPr>
              <w:keepNext w:val="0"/>
              <w:keepLines w:val="0"/>
              <w:widowControl/>
              <w:suppressLineNumbers w:val="0"/>
              <w:jc w:val="center"/>
              <w:rPr>
                <w:b/>
                <w:bCs/>
              </w:rPr>
            </w:pPr>
            <w:r>
              <w:rPr>
                <w:rFonts w:ascii="宋体" w:hAnsi="宋体" w:eastAsia="宋体" w:cs="宋体"/>
                <w:b/>
                <w:bCs/>
                <w:kern w:val="0"/>
                <w:sz w:val="24"/>
                <w:szCs w:val="24"/>
                <w:lang w:val="en-US" w:eastAsia="zh-CN" w:bidi="ar"/>
              </w:rPr>
              <w:t>项目</w:t>
            </w:r>
          </w:p>
        </w:tc>
        <w:tc>
          <w:tcPr>
            <w:tcBorders>
              <w:top w:val="single" w:color="auto" w:sz="12"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4CD8688">
            <w:pPr>
              <w:keepNext w:val="0"/>
              <w:keepLines w:val="0"/>
              <w:widowControl/>
              <w:suppressLineNumbers w:val="0"/>
              <w:jc w:val="center"/>
              <w:rPr>
                <w:b/>
                <w:bCs/>
              </w:rPr>
            </w:pPr>
            <w:r>
              <w:rPr>
                <w:rFonts w:ascii="宋体" w:hAnsi="宋体" w:eastAsia="宋体" w:cs="宋体"/>
                <w:b/>
                <w:bCs/>
                <w:kern w:val="0"/>
                <w:sz w:val="24"/>
                <w:szCs w:val="24"/>
                <w:lang w:val="en-US" w:eastAsia="zh-CN" w:bidi="ar"/>
              </w:rPr>
              <w:t>内容</w:t>
            </w:r>
          </w:p>
        </w:tc>
      </w:tr>
      <w:tr w14:paraId="17F4A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1AD6B9A">
            <w:pPr>
              <w:keepNext w:val="0"/>
              <w:keepLines w:val="0"/>
              <w:widowControl/>
              <w:suppressLineNumbers w:val="0"/>
              <w:jc w:val="left"/>
            </w:pPr>
            <w:r>
              <w:rPr>
                <w:rFonts w:ascii="宋体" w:hAnsi="宋体" w:eastAsia="宋体" w:cs="宋体"/>
                <w:kern w:val="0"/>
                <w:sz w:val="24"/>
                <w:szCs w:val="24"/>
                <w:lang w:val="en-US" w:eastAsia="zh-CN" w:bidi="ar"/>
              </w:rPr>
              <w:t>项目名称</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49915CC">
            <w:pPr>
              <w:keepNext w:val="0"/>
              <w:keepLines w:val="0"/>
              <w:widowControl/>
              <w:suppressLineNumbers w:val="0"/>
              <w:jc w:val="left"/>
            </w:pPr>
            <w:r>
              <w:rPr>
                <w:rFonts w:ascii="宋体" w:hAnsi="宋体" w:eastAsia="宋体" w:cs="宋体"/>
                <w:kern w:val="0"/>
                <w:sz w:val="24"/>
                <w:szCs w:val="24"/>
                <w:lang w:val="en-US" w:eastAsia="zh-CN" w:bidi="ar"/>
              </w:rPr>
              <w:t>上海外国语大学2026年开学典礼会场搭建项目</w:t>
            </w:r>
          </w:p>
        </w:tc>
      </w:tr>
      <w:tr w14:paraId="34F98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49A3DFA">
            <w:pPr>
              <w:keepNext w:val="0"/>
              <w:keepLines w:val="0"/>
              <w:widowControl/>
              <w:suppressLineNumbers w:val="0"/>
              <w:jc w:val="left"/>
            </w:pPr>
            <w:r>
              <w:rPr>
                <w:rFonts w:ascii="宋体" w:hAnsi="宋体" w:eastAsia="宋体" w:cs="宋体"/>
                <w:kern w:val="0"/>
                <w:sz w:val="24"/>
                <w:szCs w:val="24"/>
                <w:lang w:val="en-US" w:eastAsia="zh-CN" w:bidi="ar"/>
              </w:rPr>
              <w:t>项目实施时间</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B05734D">
            <w:pPr>
              <w:keepNext w:val="0"/>
              <w:keepLines w:val="0"/>
              <w:widowControl/>
              <w:suppressLineNumbers w:val="0"/>
              <w:jc w:val="left"/>
              <w:rPr>
                <w:rFonts w:hint="default"/>
                <w:lang w:val="en-US"/>
              </w:rPr>
            </w:pPr>
            <w:r>
              <w:rPr>
                <w:rFonts w:ascii="宋体" w:hAnsi="宋体" w:eastAsia="宋体" w:cs="宋体"/>
                <w:kern w:val="0"/>
                <w:sz w:val="24"/>
                <w:szCs w:val="24"/>
                <w:lang w:val="en-US" w:eastAsia="zh-CN" w:bidi="ar"/>
              </w:rPr>
              <w:t>2026年9月</w:t>
            </w:r>
            <w:r>
              <w:rPr>
                <w:rFonts w:hint="eastAsia" w:ascii="宋体" w:hAnsi="宋体" w:eastAsia="宋体" w:cs="宋体"/>
                <w:kern w:val="0"/>
                <w:sz w:val="24"/>
                <w:szCs w:val="24"/>
                <w:lang w:val="en-US" w:eastAsia="zh-CN" w:bidi="ar"/>
              </w:rPr>
              <w:t>11日</w:t>
            </w:r>
          </w:p>
        </w:tc>
      </w:tr>
      <w:tr w14:paraId="79033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978627E">
            <w:pPr>
              <w:keepNext w:val="0"/>
              <w:keepLines w:val="0"/>
              <w:widowControl/>
              <w:suppressLineNumbers w:val="0"/>
              <w:jc w:val="left"/>
            </w:pPr>
            <w:r>
              <w:rPr>
                <w:rFonts w:ascii="宋体" w:hAnsi="宋体" w:eastAsia="宋体" w:cs="宋体"/>
                <w:kern w:val="0"/>
                <w:sz w:val="24"/>
                <w:szCs w:val="24"/>
                <w:lang w:val="en-US" w:eastAsia="zh-CN" w:bidi="ar"/>
              </w:rPr>
              <w:t>采购方式</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AE7941A">
            <w:pPr>
              <w:keepNext w:val="0"/>
              <w:keepLines w:val="0"/>
              <w:widowControl/>
              <w:suppressLineNumbers w:val="0"/>
              <w:jc w:val="left"/>
            </w:pPr>
            <w:r>
              <w:rPr>
                <w:rFonts w:ascii="宋体" w:hAnsi="宋体" w:eastAsia="宋体" w:cs="宋体"/>
                <w:kern w:val="0"/>
                <w:sz w:val="24"/>
                <w:szCs w:val="24"/>
                <w:lang w:val="en-US" w:eastAsia="zh-CN" w:bidi="ar"/>
              </w:rPr>
              <w:t>比选采购</w:t>
            </w:r>
          </w:p>
        </w:tc>
      </w:tr>
      <w:tr w14:paraId="26133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82C95A0">
            <w:pPr>
              <w:keepNext w:val="0"/>
              <w:keepLines w:val="0"/>
              <w:widowControl/>
              <w:suppressLineNumbers w:val="0"/>
              <w:jc w:val="left"/>
            </w:pPr>
            <w:r>
              <w:rPr>
                <w:rFonts w:ascii="宋体" w:hAnsi="宋体" w:eastAsia="宋体" w:cs="宋体"/>
                <w:kern w:val="0"/>
                <w:sz w:val="24"/>
                <w:szCs w:val="24"/>
                <w:lang w:val="en-US" w:eastAsia="zh-CN" w:bidi="ar"/>
              </w:rPr>
              <w:t>项目需求</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08A2D6E">
            <w:pPr>
              <w:keepNext w:val="0"/>
              <w:keepLines w:val="0"/>
              <w:widowControl/>
              <w:suppressLineNumbers w:val="0"/>
              <w:jc w:val="left"/>
            </w:pPr>
            <w:r>
              <w:rPr>
                <w:rFonts w:ascii="宋体" w:hAnsi="宋体" w:eastAsia="宋体" w:cs="宋体"/>
                <w:kern w:val="0"/>
                <w:sz w:val="24"/>
                <w:szCs w:val="24"/>
                <w:lang w:val="en-US" w:eastAsia="zh-CN" w:bidi="ar"/>
              </w:rPr>
              <w:t>1. 项目概况与场地信息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1.1 搭建场地位置：上海外国语大学松江校区田径操场。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1.2 场地规模与舞台要求：</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舞台规模：舞台主体尺寸约为宽16米×深9米×高0.6米（具体根据现场实际情况微调）。舞台有效表演区深度不得小于8米，需满足不少于30人的群舞表演需求，确保表演者有足够的活动空间和安全距离及大型道具搬运的安全与便利。</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功能区域：需合理规划并搭建嘉宾席、学生观礼区、舞台区、后台候场区及合影区，确保各区域动线流畅、安全。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 服务内容与工作量</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2.1 需包含舞台总体设计、背景板、LED大屏幕、灯光音响、备用电源和应急设备、嘉宾席和学生观礼区座椅布置、合影区装饰布置、安装调试及使用保障、舞台硬装施工、演出相关安全保障设施等。</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2.2 需提供搭建与舞美、音频系统、视频系统、座椅及地毯、安装、拆场的技术人员。</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2.3 需提前2-3日进场搭建，应制定相应的施工安全措施，确保施工安全。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2.4 需在典礼开始前配合学校进行至少2次典礼彩排工作，典礼当天配合学校确保典礼活动顺利完成，需提供全程技术保障及应急预案，并在活动结束后当天完成撤场和清理复原工作。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2.5 须有较灵敏的反应速度，能及时根据反馈进行修改和调整。</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2.6 须有专人负责对接项目，确保各项工作有序推进。</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2.7 现场经验充足，能够根据突发情况调整方案。</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2.8 若项目需求增加，须能在要求时间内及时提供产品和物流服务。</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 项目预算构成说明</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本项目总预算为人民币22万元，该预算为全包价，供应商的报价应包含但不限于以下所有费用：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3.1 设计费：舞台、背景板及整体视觉效果的设计费用。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3.2 材料与设备租赁费：舞台结构、背景板、LED屏幕、灯光、音响、备用电源、桌椅、地毯等所有硬件的租赁及运输费用。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3.3 施工与人工费：进场搭建、安装调试、彩排支持、活动当天保障、撤场清理等全过程所需的技术人员、劳务人员费用。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3.4 管理费与利润：项目管理、协调及供应商的合理利润。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3.5 税费：开具符合国家规定的增值税专用发票所需的全部税费。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3.6 保险与不可预见费：为活动购买的公共责任险及应对突发情况的预备费用。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 验收与达标要求</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4.1 安全验收：舞台结构稳固，无晃动、无异响；所有电路连接规范，无裸露电线，通过安全检查；消防设施配备到位。</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4.2 效果验收：搭建效果需与最终确认的设计效果图保持一致，色彩、材质、尺寸无明显偏差。</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4.3 功能验收：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视听效果：LED屏幕显示清晰、无坏点、无色差；音响系统声音覆盖全场，清晰无杂音、无啸叫；灯光系统亮度充足，色彩还原准确，能实现预设的灯光效果。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流程保障：在彩排及正式活动中，技术团队能准确、及时地执行各项操作指令，保障活动流程顺畅。</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4.4 现场验收：活动结束后，供应商需将所有搭建物、设备及垃圾清运离场，并将场地恢复至搭建前的原貌，经校方确认后方可视为项目完成。</w:t>
            </w:r>
          </w:p>
        </w:tc>
      </w:tr>
      <w:tr w14:paraId="1ADD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58D7445">
            <w:pPr>
              <w:keepNext w:val="0"/>
              <w:keepLines w:val="0"/>
              <w:widowControl/>
              <w:suppressLineNumbers w:val="0"/>
              <w:jc w:val="left"/>
            </w:pPr>
            <w:r>
              <w:rPr>
                <w:rFonts w:ascii="宋体" w:hAnsi="宋体" w:eastAsia="宋体" w:cs="宋体"/>
                <w:kern w:val="0"/>
                <w:sz w:val="24"/>
                <w:szCs w:val="24"/>
                <w:lang w:val="en-US" w:eastAsia="zh-CN" w:bidi="ar"/>
              </w:rPr>
              <w:t>比选评审标准</w:t>
            </w:r>
          </w:p>
        </w:tc>
        <w:tc>
          <w:tcPr>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53F353D">
            <w:pPr>
              <w:keepNext w:val="0"/>
              <w:keepLines w:val="0"/>
              <w:widowControl/>
              <w:suppressLineNumbers w:val="0"/>
              <w:jc w:val="left"/>
            </w:pPr>
            <w:r>
              <w:rPr>
                <w:rFonts w:ascii="宋体" w:hAnsi="宋体" w:eastAsia="宋体" w:cs="宋体"/>
                <w:kern w:val="0"/>
                <w:sz w:val="24"/>
                <w:szCs w:val="24"/>
                <w:lang w:val="en-US" w:eastAsia="zh-CN" w:bidi="ar"/>
              </w:rPr>
              <w:t>1. 价格合理并符合预算要求（30分）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基准价设定：以满足比选文件要求且通过资格审查的有效报价中的最低报价为评审基准价，其价格分为满分30分。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计算公式：其他供应商的价格得分=(评审基准价/该供应商的有效报价)×30分。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预算控制：所有报价不得高于项目预算（人民币22万元），超过预算的报价将视为无效响应。</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报价构成：报价需包含舞台设计、搭建、设备租赁、人员费用、税费及撤场等所有费用，未列明或漏项可能导致扣分或视为无效报价。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 具备相关活动经验（20分）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高校合作经验（10分）：提供近三年内（2023年1月1日至今）承接过高校开学典礼、毕业典礼或大型文艺晚会案例的，每提供一份有效合同或中标通知书得5分，本项最高得10分。无高校相关案例不得分。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同类项目业绩（10分）：提供近三年内承接过其他企事业单位大型会议、舞台搭建项目的案例，每提供一份有效证明材料得2分，最高得10分。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 设备及现场技术人员专业性（</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0分）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xml:space="preserve">● </w:t>
            </w:r>
            <w:bookmarkStart w:id="0" w:name="_GoBack"/>
            <w:bookmarkEnd w:id="0"/>
            <w:r>
              <w:rPr>
                <w:rFonts w:ascii="宋体" w:hAnsi="宋体" w:eastAsia="宋体" w:cs="宋体"/>
                <w:kern w:val="0"/>
                <w:sz w:val="24"/>
                <w:szCs w:val="24"/>
                <w:lang w:val="en-US" w:eastAsia="zh-CN" w:bidi="ar"/>
              </w:rPr>
              <w:t>方案与舞美设计（</w:t>
            </w:r>
            <w:r>
              <w:rPr>
                <w:rFonts w:hint="eastAsia" w:ascii="宋体" w:hAnsi="宋体" w:eastAsia="宋体" w:cs="宋体"/>
                <w:kern w:val="0"/>
                <w:sz w:val="24"/>
                <w:szCs w:val="24"/>
                <w:lang w:val="en-US" w:eastAsia="zh-CN" w:bidi="ar"/>
              </w:rPr>
              <w:t>20</w:t>
            </w:r>
            <w:r>
              <w:rPr>
                <w:rFonts w:ascii="宋体" w:hAnsi="宋体" w:eastAsia="宋体" w:cs="宋体"/>
                <w:kern w:val="0"/>
                <w:sz w:val="24"/>
                <w:szCs w:val="24"/>
                <w:lang w:val="en-US" w:eastAsia="zh-CN" w:bidi="ar"/>
              </w:rPr>
              <w:t>分）：方案设计理念新颖，符合开学典礼庄重热烈的氛围，效果图精美，空间布局合理（如嘉宾席、学生区、合影区动线流畅），得</w:t>
            </w:r>
            <w:r>
              <w:rPr>
                <w:rFonts w:hint="eastAsia" w:ascii="宋体" w:hAnsi="宋体" w:eastAsia="宋体" w:cs="宋体"/>
                <w:kern w:val="0"/>
                <w:sz w:val="24"/>
                <w:szCs w:val="24"/>
                <w:lang w:val="en-US" w:eastAsia="zh-CN" w:bidi="ar"/>
              </w:rPr>
              <w:t>16</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20</w:t>
            </w:r>
            <w:r>
              <w:rPr>
                <w:rFonts w:ascii="宋体" w:hAnsi="宋体" w:eastAsia="宋体" w:cs="宋体"/>
                <w:kern w:val="0"/>
                <w:sz w:val="24"/>
                <w:szCs w:val="24"/>
                <w:lang w:val="en-US" w:eastAsia="zh-CN" w:bidi="ar"/>
              </w:rPr>
              <w:t>分；</w:t>
            </w:r>
            <w:r>
              <w:rPr>
                <w:rFonts w:hint="eastAsia" w:ascii="宋体" w:hAnsi="宋体" w:eastAsia="宋体" w:cs="宋体"/>
                <w:kern w:val="0"/>
                <w:sz w:val="24"/>
                <w:szCs w:val="24"/>
                <w:lang w:val="en-US" w:eastAsia="zh-CN" w:bidi="ar"/>
              </w:rPr>
              <w:t>方案完整、风格正式合规、无明显创意短板，基本贴合高校开学典礼场景，得11-15分；</w:t>
            </w:r>
            <w:r>
              <w:rPr>
                <w:rFonts w:ascii="宋体" w:hAnsi="宋体" w:eastAsia="宋体" w:cs="宋体"/>
                <w:kern w:val="0"/>
                <w:sz w:val="24"/>
                <w:szCs w:val="24"/>
                <w:lang w:val="en-US" w:eastAsia="zh-CN" w:bidi="ar"/>
              </w:rPr>
              <w:t>方案基本满足需求，设计一般，得</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分；方案简陋或存在明显缺陷，得</w:t>
            </w:r>
            <w:r>
              <w:rPr>
                <w:rFonts w:hint="eastAsia" w:ascii="宋体" w:hAnsi="宋体" w:eastAsia="宋体" w:cs="宋体"/>
                <w:kern w:val="0"/>
                <w:sz w:val="24"/>
                <w:szCs w:val="24"/>
                <w:lang w:val="en-US" w:eastAsia="zh-CN" w:bidi="ar"/>
              </w:rPr>
              <w:t>0</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设备配置（</w:t>
            </w:r>
            <w:r>
              <w:rPr>
                <w:rFonts w:hint="eastAsia" w:ascii="宋体" w:hAnsi="宋体" w:eastAsia="宋体" w:cs="宋体"/>
                <w:kern w:val="0"/>
                <w:sz w:val="24"/>
                <w:szCs w:val="24"/>
                <w:lang w:val="en-US" w:eastAsia="zh-CN" w:bidi="ar"/>
              </w:rPr>
              <w:t>15</w:t>
            </w:r>
            <w:r>
              <w:rPr>
                <w:rFonts w:ascii="宋体" w:hAnsi="宋体" w:eastAsia="宋体" w:cs="宋体"/>
                <w:kern w:val="0"/>
                <w:sz w:val="24"/>
                <w:szCs w:val="24"/>
                <w:lang w:val="en-US" w:eastAsia="zh-CN" w:bidi="ar"/>
              </w:rPr>
              <w:t>分）：提供的LED大屏幕、灯光、音响等设备品牌知名度高、参数性能优越，且配备备用电源和应急设备，完全满足现场需求，</w:t>
            </w:r>
            <w:r>
              <w:rPr>
                <w:rFonts w:hint="eastAsia" w:ascii="宋体" w:hAnsi="宋体" w:eastAsia="宋体" w:cs="宋体"/>
                <w:kern w:val="0"/>
                <w:sz w:val="24"/>
                <w:szCs w:val="24"/>
                <w:lang w:val="en-US" w:eastAsia="zh-CN" w:bidi="ar"/>
              </w:rPr>
              <w:t>能够提供设备清单</w:t>
            </w:r>
            <w:r>
              <w:rPr>
                <w:rFonts w:ascii="宋体" w:hAnsi="宋体" w:eastAsia="宋体" w:cs="宋体"/>
                <w:kern w:val="0"/>
                <w:sz w:val="24"/>
                <w:szCs w:val="24"/>
                <w:lang w:val="en-US" w:eastAsia="zh-CN" w:bidi="ar"/>
              </w:rPr>
              <w:t>得</w:t>
            </w:r>
            <w:r>
              <w:rPr>
                <w:rFonts w:hint="eastAsia" w:ascii="宋体" w:hAnsi="宋体" w:eastAsia="宋体" w:cs="宋体"/>
                <w:kern w:val="0"/>
                <w:sz w:val="24"/>
                <w:szCs w:val="24"/>
                <w:lang w:val="en-US" w:eastAsia="zh-CN" w:bidi="ar"/>
              </w:rPr>
              <w:t>11</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15</w:t>
            </w:r>
            <w:r>
              <w:rPr>
                <w:rFonts w:ascii="宋体" w:hAnsi="宋体" w:eastAsia="宋体" w:cs="宋体"/>
                <w:kern w:val="0"/>
                <w:sz w:val="24"/>
                <w:szCs w:val="24"/>
                <w:lang w:val="en-US" w:eastAsia="zh-CN" w:bidi="ar"/>
              </w:rPr>
              <w:t>分；设备配置满足基本使用要求，</w:t>
            </w:r>
            <w:r>
              <w:rPr>
                <w:rFonts w:hint="eastAsia" w:ascii="宋体" w:hAnsi="宋体" w:eastAsia="宋体" w:cs="宋体"/>
                <w:kern w:val="0"/>
                <w:sz w:val="24"/>
                <w:szCs w:val="24"/>
                <w:lang w:val="en-US" w:eastAsia="zh-CN" w:bidi="ar"/>
              </w:rPr>
              <w:t>提供设备清单，</w:t>
            </w:r>
            <w:r>
              <w:rPr>
                <w:rFonts w:ascii="宋体" w:hAnsi="宋体" w:eastAsia="宋体" w:cs="宋体"/>
                <w:kern w:val="0"/>
                <w:sz w:val="24"/>
                <w:szCs w:val="24"/>
                <w:lang w:val="en-US" w:eastAsia="zh-CN" w:bidi="ar"/>
              </w:rPr>
              <w:t>得</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分；设备配置较低或存在安全隐患，</w:t>
            </w:r>
            <w:r>
              <w:rPr>
                <w:rFonts w:hint="eastAsia" w:ascii="宋体" w:hAnsi="宋体" w:eastAsia="宋体" w:cs="宋体"/>
                <w:kern w:val="0"/>
                <w:sz w:val="24"/>
                <w:szCs w:val="24"/>
                <w:lang w:val="en-US" w:eastAsia="zh-CN" w:bidi="ar"/>
              </w:rPr>
              <w:t>无法提供设备清单，</w:t>
            </w:r>
            <w:r>
              <w:rPr>
                <w:rFonts w:ascii="宋体" w:hAnsi="宋体" w:eastAsia="宋体" w:cs="宋体"/>
                <w:kern w:val="0"/>
                <w:sz w:val="24"/>
                <w:szCs w:val="24"/>
                <w:lang w:val="en-US" w:eastAsia="zh-CN" w:bidi="ar"/>
              </w:rPr>
              <w:t>得0-</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人员配置与安全保障（</w:t>
            </w:r>
            <w:r>
              <w:rPr>
                <w:rFonts w:hint="eastAsia" w:ascii="宋体" w:hAnsi="宋体" w:eastAsia="宋体" w:cs="宋体"/>
                <w:kern w:val="0"/>
                <w:sz w:val="24"/>
                <w:szCs w:val="24"/>
                <w:lang w:val="en-US" w:eastAsia="zh-CN" w:bidi="ar"/>
              </w:rPr>
              <w:t>15</w:t>
            </w:r>
            <w:r>
              <w:rPr>
                <w:rFonts w:ascii="宋体" w:hAnsi="宋体" w:eastAsia="宋体" w:cs="宋体"/>
                <w:kern w:val="0"/>
                <w:sz w:val="24"/>
                <w:szCs w:val="24"/>
                <w:lang w:val="en-US" w:eastAsia="zh-CN" w:bidi="ar"/>
              </w:rPr>
              <w:t>分）：</w:t>
            </w:r>
            <w:r>
              <w:rPr>
                <w:rFonts w:hint="eastAsia" w:ascii="宋体" w:hAnsi="宋体" w:eastAsia="宋体" w:cs="宋体"/>
                <w:kern w:val="0"/>
                <w:sz w:val="24"/>
                <w:szCs w:val="24"/>
                <w:lang w:val="en-US" w:eastAsia="zh-CN" w:bidi="ar"/>
              </w:rPr>
              <w:t>为本项目单独单独配置本项目必须组建一个完善的项目实施小组（含项目负责人），项目负责人需具有5年及以上的同类项目经验，项目团队同类型服务项目经验丰富，人数不少于15人</w:t>
            </w:r>
            <w:r>
              <w:rPr>
                <w:rFonts w:ascii="宋体" w:hAnsi="宋体" w:eastAsia="宋体" w:cs="宋体"/>
                <w:kern w:val="0"/>
                <w:sz w:val="24"/>
                <w:szCs w:val="24"/>
                <w:lang w:val="en-US" w:eastAsia="zh-CN" w:bidi="ar"/>
              </w:rPr>
              <w:t>，分工明确（含项目经理、技术总监、安全员等），持有相关职业资格证书；安全施工措施及应急预案详尽可行，得</w:t>
            </w:r>
            <w:r>
              <w:rPr>
                <w:rFonts w:hint="eastAsia" w:ascii="宋体" w:hAnsi="宋体" w:eastAsia="宋体" w:cs="宋体"/>
                <w:kern w:val="0"/>
                <w:sz w:val="24"/>
                <w:szCs w:val="24"/>
                <w:lang w:val="en-US" w:eastAsia="zh-CN" w:bidi="ar"/>
              </w:rPr>
              <w:t>11</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15</w:t>
            </w:r>
            <w:r>
              <w:rPr>
                <w:rFonts w:ascii="宋体" w:hAnsi="宋体" w:eastAsia="宋体" w:cs="宋体"/>
                <w:kern w:val="0"/>
                <w:sz w:val="24"/>
                <w:szCs w:val="24"/>
                <w:lang w:val="en-US" w:eastAsia="zh-CN" w:bidi="ar"/>
              </w:rPr>
              <w:t>分；人员配置基本满足需求，有安全预案但不够详细，得</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分；人员配置不足或无安全保障措施，得0-</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分。</w:t>
            </w:r>
          </w:p>
        </w:tc>
      </w:tr>
      <w:tr w14:paraId="0D9D6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Borders>
              <w:top w:val="single" w:color="auto" w:sz="4" w:space="0"/>
              <w:left w:val="single" w:color="auto" w:sz="12" w:space="0"/>
              <w:bottom w:val="single" w:color="auto" w:sz="12" w:space="0"/>
              <w:right w:val="nil"/>
            </w:tcBorders>
            <w:shd w:val="clear" w:color="auto" w:fill="auto"/>
            <w:noWrap w:val="0"/>
            <w:tcMar>
              <w:top w:w="-1" w:type="dxa"/>
              <w:left w:w="-1" w:type="dxa"/>
              <w:bottom w:w="-1" w:type="dxa"/>
              <w:right w:w="-1" w:type="dxa"/>
            </w:tcMar>
            <w:vAlign w:val="center"/>
          </w:tcPr>
          <w:p w14:paraId="02D29B90">
            <w:pPr>
              <w:keepNext w:val="0"/>
              <w:keepLines w:val="0"/>
              <w:widowControl/>
              <w:suppressLineNumbers w:val="0"/>
              <w:jc w:val="left"/>
            </w:pPr>
            <w:r>
              <w:rPr>
                <w:rFonts w:ascii="宋体" w:hAnsi="宋体" w:eastAsia="宋体" w:cs="宋体"/>
                <w:kern w:val="0"/>
                <w:sz w:val="24"/>
                <w:szCs w:val="24"/>
                <w:lang w:val="en-US" w:eastAsia="zh-CN" w:bidi="ar"/>
              </w:rPr>
              <w:t>支付方式</w:t>
            </w:r>
          </w:p>
        </w:tc>
        <w:tc>
          <w:tcPr>
            <w:tcBorders>
              <w:top w:val="single" w:color="auto" w:sz="4" w:space="0"/>
              <w:left w:val="single" w:color="auto" w:sz="4" w:space="0"/>
              <w:bottom w:val="single" w:color="auto" w:sz="12" w:space="0"/>
              <w:right w:val="single" w:color="auto" w:sz="12" w:space="0"/>
            </w:tcBorders>
            <w:shd w:val="clear" w:color="auto" w:fill="auto"/>
            <w:noWrap w:val="0"/>
            <w:tcMar>
              <w:top w:w="-1" w:type="dxa"/>
              <w:left w:w="-1" w:type="dxa"/>
              <w:bottom w:w="-1" w:type="dxa"/>
              <w:right w:w="-1" w:type="dxa"/>
            </w:tcMar>
            <w:vAlign w:val="center"/>
          </w:tcPr>
          <w:p w14:paraId="0A3664DA">
            <w:pPr>
              <w:keepNext w:val="0"/>
              <w:keepLines w:val="0"/>
              <w:widowControl/>
              <w:suppressLineNumbers w:val="0"/>
              <w:jc w:val="left"/>
            </w:pPr>
            <w:r>
              <w:rPr>
                <w:rFonts w:ascii="宋体" w:hAnsi="宋体" w:eastAsia="宋体" w:cs="宋体"/>
                <w:kern w:val="0"/>
                <w:sz w:val="24"/>
                <w:szCs w:val="24"/>
                <w:lang w:val="en-US" w:eastAsia="zh-CN" w:bidi="ar"/>
              </w:rPr>
              <w:t>经甲方验收合格，一次性向乙方支付全部费用。</w:t>
            </w:r>
          </w:p>
        </w:tc>
      </w:tr>
    </w:tbl>
    <w:p w14:paraId="0B30DE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3637E"/>
    <w:rsid w:val="0F23637E"/>
    <w:rsid w:val="1A235756"/>
    <w:rsid w:val="47707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2120</Words>
  <Characters>2252</Characters>
  <Lines>0</Lines>
  <Paragraphs>0</Paragraphs>
  <TotalTime>0</TotalTime>
  <ScaleCrop>false</ScaleCrop>
  <LinksUpToDate>false</LinksUpToDate>
  <CharactersWithSpaces>2292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2026-08-19T06:44:00Z</dcterms:created>
  <dc:creator>咚咚锵</dc:creator>
  <cp:lastModifiedBy>咚咚锵</cp:lastModifiedBy>
  <dcterms:modified xsi:type="dcterms:W3CDTF">2026-08-20T00:32:29Z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A0D17D0D7B62471C92847840D979051C_11</vt:lpwstr>
  </property>
  <property fmtid="{D5CDD505-2E9C-101B-9397-08002B2CF9AE}" pid="4" name="KSOTemplateDocerSaveRecord">
    <vt:lpwstr>eyJoZGlkIjoiZjFmZWIzNDg2MmIzZjExOTIzMmViNTBmYTMwYTk0ZWYiLCJ1c2VySWQiOiIzMTI4NjgwNzAifQ==</vt:lpwstr>
  </property>
</Properties>
</file>